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533"/>
        <w:gridCol w:w="5047"/>
        <w:gridCol w:w="919"/>
        <w:gridCol w:w="1433"/>
      </w:tblGrid>
      <w:tr w:rsidR="004D6B20" w:rsidRPr="003C3E2B" w:rsidTr="00E717F8">
        <w:trPr>
          <w:trHeight w:val="758"/>
        </w:trPr>
        <w:tc>
          <w:tcPr>
            <w:tcW w:w="2091" w:type="dxa"/>
            <w:vMerge w:val="restar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6B20" w:rsidRPr="003C3E2B" w:rsidRDefault="004D6B20" w:rsidP="00E717F8">
            <w:pPr>
              <w:pStyle w:val="1"/>
              <w:ind w:right="-25"/>
              <w:rPr>
                <w:sz w:val="28"/>
                <w:szCs w:val="32"/>
              </w:rPr>
            </w:pPr>
            <w:r w:rsidRPr="003C3E2B">
              <w:rPr>
                <w:noProof/>
                <w:lang w:val="ru-RU"/>
              </w:rPr>
              <w:drawing>
                <wp:inline distT="0" distB="0" distL="0" distR="0">
                  <wp:extent cx="1028700" cy="828675"/>
                  <wp:effectExtent l="19050" t="0" r="0" b="0"/>
                  <wp:docPr id="3" name="Рисунок 1" descr="gerb_frgn_pr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frgn_pr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5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B20" w:rsidRPr="003C3E2B" w:rsidRDefault="004D6B20" w:rsidP="00E717F8">
            <w:pPr>
              <w:shd w:val="clear" w:color="auto" w:fill="FFFFFF"/>
              <w:spacing w:after="0" w:line="240" w:lineRule="auto"/>
              <w:ind w:right="-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C3E2B">
              <w:rPr>
                <w:color w:val="000000"/>
                <w:spacing w:val="-2"/>
                <w:sz w:val="28"/>
                <w:szCs w:val="28"/>
                <w:lang w:val="uk-UA"/>
              </w:rPr>
              <w:t>Миколаївська міська громадська організація</w:t>
            </w:r>
          </w:p>
          <w:p w:rsidR="004D6B20" w:rsidRPr="003C3E2B" w:rsidRDefault="004D6B20" w:rsidP="00E717F8">
            <w:pPr>
              <w:pStyle w:val="1"/>
              <w:ind w:right="-23"/>
              <w:jc w:val="center"/>
            </w:pPr>
            <w:r w:rsidRPr="003C3E2B">
              <w:rPr>
                <w:sz w:val="28"/>
                <w:szCs w:val="32"/>
              </w:rPr>
              <w:t>Фонд розвитку міста Миколаєва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6B20" w:rsidRPr="003C3E2B" w:rsidRDefault="004D6B20" w:rsidP="00E717F8">
            <w:pPr>
              <w:spacing w:after="0" w:line="240" w:lineRule="auto"/>
              <w:ind w:right="-25"/>
              <w:rPr>
                <w:lang w:val="uk-UA"/>
              </w:rPr>
            </w:pPr>
            <w:r w:rsidRPr="003C3E2B">
              <w:rPr>
                <w:noProof/>
                <w:lang w:eastAsia="ru-RU"/>
              </w:rPr>
              <w:drawing>
                <wp:inline distT="0" distB="0" distL="0" distR="0">
                  <wp:extent cx="619125" cy="838200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B20" w:rsidRPr="00CD21B0" w:rsidTr="00E717F8">
        <w:trPr>
          <w:trHeight w:val="546"/>
        </w:trPr>
        <w:tc>
          <w:tcPr>
            <w:tcW w:w="2091" w:type="dxa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4D6B20" w:rsidRPr="003C3E2B" w:rsidRDefault="004D6B20" w:rsidP="00E717F8">
            <w:pPr>
              <w:spacing w:after="0" w:line="240" w:lineRule="auto"/>
              <w:ind w:right="-25"/>
              <w:rPr>
                <w:b/>
                <w:bCs/>
                <w:sz w:val="28"/>
                <w:szCs w:val="32"/>
                <w:lang w:val="uk-U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6B20" w:rsidRPr="003C3E2B" w:rsidRDefault="004D6B20" w:rsidP="00E717F8">
            <w:pPr>
              <w:shd w:val="clear" w:color="auto" w:fill="FFFFFF"/>
              <w:spacing w:after="0" w:line="240" w:lineRule="auto"/>
              <w:ind w:right="-25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6B20" w:rsidRPr="003C3E2B" w:rsidRDefault="004D6B20" w:rsidP="00E717F8">
            <w:pPr>
              <w:spacing w:after="0" w:line="240" w:lineRule="auto"/>
              <w:ind w:right="-23"/>
              <w:jc w:val="center"/>
              <w:rPr>
                <w:b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3C3E2B">
                <w:rPr>
                  <w:b/>
                  <w:sz w:val="18"/>
                  <w:szCs w:val="18"/>
                  <w:lang w:val="uk-UA"/>
                </w:rPr>
                <w:t>54001, м</w:t>
              </w:r>
            </w:smartTag>
            <w:r w:rsidRPr="003C3E2B">
              <w:rPr>
                <w:b/>
                <w:sz w:val="18"/>
                <w:szCs w:val="18"/>
                <w:lang w:val="uk-UA"/>
              </w:rPr>
              <w:t>. Миколаїв, вул. Севастопольська, 15 /3</w:t>
            </w:r>
          </w:p>
          <w:p w:rsidR="004D6B20" w:rsidRPr="003C3E2B" w:rsidRDefault="004D6B20" w:rsidP="00E717F8">
            <w:pPr>
              <w:shd w:val="clear" w:color="auto" w:fill="FFFFFF"/>
              <w:spacing w:after="0" w:line="240" w:lineRule="auto"/>
              <w:ind w:right="-23"/>
              <w:jc w:val="center"/>
              <w:rPr>
                <w:b/>
                <w:sz w:val="18"/>
                <w:szCs w:val="18"/>
                <w:lang w:val="uk-UA"/>
              </w:rPr>
            </w:pPr>
            <w:r w:rsidRPr="003C3E2B">
              <w:rPr>
                <w:b/>
                <w:sz w:val="18"/>
                <w:szCs w:val="18"/>
                <w:lang w:val="uk-UA"/>
              </w:rPr>
              <w:t>тел. +3 8(0512) 47-38-79,- факс +3 8(0512) 47-34-79</w:t>
            </w:r>
          </w:p>
          <w:p w:rsidR="004D6B20" w:rsidRPr="003C3E2B" w:rsidRDefault="00C56713" w:rsidP="00E717F8">
            <w:pPr>
              <w:shd w:val="clear" w:color="auto" w:fill="FFFFFF"/>
              <w:spacing w:after="0" w:line="240" w:lineRule="auto"/>
              <w:ind w:right="-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hyperlink r:id="rId7" w:history="1">
              <w:r w:rsidR="004D6B20" w:rsidRPr="003C3E2B">
                <w:rPr>
                  <w:rStyle w:val="a4"/>
                  <w:sz w:val="18"/>
                  <w:szCs w:val="18"/>
                  <w:lang w:val="uk-UA"/>
                </w:rPr>
                <w:t>www.frgn.mk.ua</w:t>
              </w:r>
            </w:hyperlink>
            <w:r w:rsidR="004D6B20" w:rsidRPr="003C3E2B">
              <w:rPr>
                <w:b/>
                <w:sz w:val="18"/>
                <w:szCs w:val="18"/>
                <w:lang w:val="uk-UA"/>
              </w:rPr>
              <w:t xml:space="preserve"> , e-</w:t>
            </w:r>
            <w:proofErr w:type="spellStart"/>
            <w:r w:rsidR="004D6B20" w:rsidRPr="003C3E2B">
              <w:rPr>
                <w:b/>
                <w:sz w:val="18"/>
                <w:szCs w:val="18"/>
                <w:lang w:val="uk-UA"/>
              </w:rPr>
              <w:t>mail</w:t>
            </w:r>
            <w:proofErr w:type="spellEnd"/>
            <w:r w:rsidR="004D6B20" w:rsidRPr="003C3E2B">
              <w:rPr>
                <w:b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="004D6B20" w:rsidRPr="003C3E2B">
                <w:rPr>
                  <w:rStyle w:val="a4"/>
                  <w:lang w:val="uk-UA"/>
                </w:rPr>
                <w:t>fondnikol@gmail.com</w:t>
              </w:r>
            </w:hyperlink>
            <w:r w:rsidR="004D6B20" w:rsidRPr="003C3E2B">
              <w:rPr>
                <w:lang w:val="uk-UA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6B20" w:rsidRPr="003C3E2B" w:rsidRDefault="004D6B20" w:rsidP="00E717F8">
            <w:pPr>
              <w:shd w:val="clear" w:color="auto" w:fill="FFFFFF"/>
              <w:spacing w:after="0" w:line="240" w:lineRule="auto"/>
              <w:ind w:right="-25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4D6B20" w:rsidRPr="003C3E2B" w:rsidRDefault="004D6B20" w:rsidP="00E717F8">
            <w:pPr>
              <w:spacing w:after="0" w:line="240" w:lineRule="auto"/>
              <w:ind w:right="-25"/>
              <w:rPr>
                <w:lang w:val="uk-UA"/>
              </w:rPr>
            </w:pPr>
          </w:p>
        </w:tc>
      </w:tr>
    </w:tbl>
    <w:p w:rsidR="00CD21B0" w:rsidRPr="00CD21B0" w:rsidRDefault="004D6B20" w:rsidP="004D6B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3C3E2B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D21B0" w:rsidRPr="0067344A">
        <w:rPr>
          <w:rFonts w:ascii="Times New Roman" w:hAnsi="Times New Roman" w:cs="Times New Roman"/>
          <w:bCs/>
          <w:sz w:val="28"/>
          <w:szCs w:val="28"/>
          <w:lang w:val="uk-UA"/>
        </w:rPr>
        <w:t>В.о</w:t>
      </w:r>
      <w:proofErr w:type="spellEnd"/>
      <w:r w:rsidR="00CD21B0" w:rsidRPr="0067344A">
        <w:rPr>
          <w:rFonts w:ascii="Times New Roman" w:hAnsi="Times New Roman" w:cs="Times New Roman"/>
          <w:bCs/>
          <w:sz w:val="28"/>
          <w:szCs w:val="28"/>
          <w:lang w:val="uk-UA"/>
        </w:rPr>
        <w:t>. начальника</w:t>
      </w:r>
      <w:r w:rsidR="00CD21B0" w:rsidRPr="00CD21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D21B0" w:rsidRPr="00CD21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D21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Держфінінспекції</w:t>
      </w:r>
      <w:proofErr w:type="spellEnd"/>
      <w:r w:rsidRPr="00CD21B0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</w:t>
      </w:r>
      <w:r w:rsidR="00CD21B0" w:rsidRPr="00CD21B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CD21B0" w:rsidRPr="00CD21B0" w:rsidRDefault="00CD21B0" w:rsidP="00CD2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21B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ВОЙЧЕНКО А. І.</w:t>
      </w:r>
    </w:p>
    <w:p w:rsidR="00CD21B0" w:rsidRDefault="00CD21B0" w:rsidP="004D6B2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D6B20" w:rsidRPr="003C3E2B" w:rsidRDefault="00CD21B0" w:rsidP="004D6B2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719BF">
        <w:rPr>
          <w:rFonts w:ascii="Arial" w:hAnsi="Arial" w:cs="Arial"/>
          <w:sz w:val="24"/>
          <w:szCs w:val="24"/>
          <w:lang w:val="uk-UA"/>
        </w:rPr>
        <w:t>Вих</w:t>
      </w:r>
      <w:proofErr w:type="spellEnd"/>
      <w:r w:rsidR="00D719BF">
        <w:rPr>
          <w:rFonts w:ascii="Arial" w:hAnsi="Arial" w:cs="Arial"/>
          <w:sz w:val="24"/>
          <w:szCs w:val="24"/>
          <w:lang w:val="uk-UA"/>
        </w:rPr>
        <w:t xml:space="preserve"> № 5</w:t>
      </w:r>
      <w:r w:rsidR="004D6B20" w:rsidRPr="003C3E2B">
        <w:rPr>
          <w:rFonts w:ascii="Arial" w:hAnsi="Arial" w:cs="Arial"/>
          <w:sz w:val="24"/>
          <w:szCs w:val="24"/>
          <w:lang w:val="uk-UA"/>
        </w:rPr>
        <w:t>1 від 2</w:t>
      </w:r>
      <w:r w:rsidR="0067344A">
        <w:rPr>
          <w:rFonts w:ascii="Arial" w:hAnsi="Arial" w:cs="Arial"/>
          <w:sz w:val="24"/>
          <w:szCs w:val="24"/>
          <w:lang w:val="uk-UA"/>
        </w:rPr>
        <w:t>7</w:t>
      </w:r>
      <w:r w:rsidR="004D6B20" w:rsidRPr="003C3E2B">
        <w:rPr>
          <w:rFonts w:ascii="Arial" w:hAnsi="Arial" w:cs="Arial"/>
          <w:sz w:val="24"/>
          <w:szCs w:val="24"/>
          <w:lang w:val="uk-UA"/>
        </w:rPr>
        <w:t>.0</w:t>
      </w:r>
      <w:r w:rsidR="00D719BF">
        <w:rPr>
          <w:rFonts w:ascii="Arial" w:hAnsi="Arial" w:cs="Arial"/>
          <w:sz w:val="24"/>
          <w:szCs w:val="24"/>
          <w:lang w:val="uk-UA"/>
        </w:rPr>
        <w:t>8</w:t>
      </w:r>
      <w:r w:rsidR="004D6B20" w:rsidRPr="003C3E2B">
        <w:rPr>
          <w:rFonts w:ascii="Arial" w:hAnsi="Arial" w:cs="Arial"/>
          <w:sz w:val="24"/>
          <w:szCs w:val="24"/>
          <w:lang w:val="uk-UA"/>
        </w:rPr>
        <w:t>.2015</w:t>
      </w:r>
    </w:p>
    <w:p w:rsidR="00CD21B0" w:rsidRDefault="00CD21B0" w:rsidP="004D6B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6B20" w:rsidRPr="00CD21B0" w:rsidRDefault="004D6B20" w:rsidP="004D6B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C2B1B">
        <w:rPr>
          <w:rFonts w:ascii="Times New Roman" w:hAnsi="Times New Roman" w:cs="Times New Roman"/>
          <w:b/>
          <w:sz w:val="24"/>
          <w:szCs w:val="24"/>
        </w:rPr>
        <w:t>Шановний</w:t>
      </w:r>
      <w:proofErr w:type="spellEnd"/>
      <w:r w:rsidRPr="00EC2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B0">
        <w:rPr>
          <w:rFonts w:ascii="Times New Roman" w:hAnsi="Times New Roman" w:cs="Times New Roman"/>
          <w:b/>
          <w:sz w:val="24"/>
          <w:szCs w:val="24"/>
          <w:lang w:val="uk-UA"/>
        </w:rPr>
        <w:t>Анатолій Іванович!</w:t>
      </w:r>
    </w:p>
    <w:p w:rsidR="00EC2B1B" w:rsidRPr="00577F54" w:rsidRDefault="00EC2B1B" w:rsidP="00EC2B1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  У відповідності до Положення про Державну фінансову інспекцію, </w:t>
      </w:r>
      <w:proofErr w:type="spellStart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Держфінінспекція</w:t>
      </w:r>
      <w:proofErr w:type="spellEnd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 здійснює державний фінансовий контроль за використанням і збереженням державних фінансових ресурсів, правильністю визначення потреби в бюджетних коштах та взяттям зобов’язань, ефективним використанням коштів та державного чи комунального майна, за дотриманням законодавства на всіх стадіях бюджетного процесу щодо державного і місцевих бюджетів.</w:t>
      </w:r>
    </w:p>
    <w:p w:rsidR="00EC2B1B" w:rsidRPr="00577F54" w:rsidRDefault="00EC2B1B" w:rsidP="00EC2B1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Держфінінспекція</w:t>
      </w:r>
      <w:proofErr w:type="spellEnd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 з метою організації своєї роботи забезпечує в межах повноважень здійснення заходів щодо запобігання корупції і контроль за їх здійсненням, а також організовує розгляд звернень громадян з питань, пов’язаних із діяльністю органів, установ, що належать до сфери її управління.</w:t>
      </w:r>
    </w:p>
    <w:p w:rsidR="00EC2B1B" w:rsidRPr="00577F54" w:rsidRDefault="00EC2B1B" w:rsidP="00EC2B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   У своїй діяльності </w:t>
      </w:r>
      <w:proofErr w:type="spellStart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Держфінінспекція</w:t>
      </w:r>
      <w:proofErr w:type="spellEnd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 керується Конституцією та Законами України.</w:t>
      </w:r>
    </w:p>
    <w:p w:rsidR="00EC2B1B" w:rsidRPr="00577F54" w:rsidRDefault="00EC2B1B" w:rsidP="00EC2B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 У відповідності до Конституції України (ст..140), місцеве самоврядування є правом територіальної громади самостійно вирішувати питання місцевого значення в межах Конституції і законів України. Місцеве самоврядування здійснюється територіальною громадою в порядку, встановленому законом, як безпосередньо, так і через органи місцевого самоврядування, що представляють спільні інтереси територіальних громад.</w:t>
      </w:r>
    </w:p>
    <w:p w:rsidR="00EC2B1B" w:rsidRPr="00577F54" w:rsidRDefault="00EC2B1B" w:rsidP="00EC2B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  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територіальних громад (ст.142 </w:t>
      </w:r>
      <w:proofErr w:type="spellStart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</w:t>
      </w:r>
      <w:proofErr w:type="spellEnd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:rsidR="00EC2B1B" w:rsidRPr="00577F54" w:rsidRDefault="00EC2B1B" w:rsidP="00EC2B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   Територіальні громади села, селища, міста безпосередньо або через утворені ними органи місцевого самоврядування управляють майном, що є в комунальній власності (ст.143 </w:t>
      </w:r>
      <w:proofErr w:type="spellStart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</w:t>
      </w:r>
      <w:proofErr w:type="spellEnd"/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:rsidR="00D719BF" w:rsidRDefault="00EC2B1B" w:rsidP="00D719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     У відповідності до статті 16.</w:t>
      </w:r>
      <w:r w:rsidR="00CC1EFD" w:rsidRPr="00CC1E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C1EFD"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Закон</w:t>
      </w:r>
      <w:r w:rsidR="00CC1E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CC1EFD"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України «Про місцеве самоврядування в Україні»</w:t>
      </w: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органи місцевого самоврядування </w:t>
      </w:r>
      <w:r w:rsidRPr="00EC2B1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є юридичними особами</w:t>
      </w: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і наділяються цим та іншими законами власними повноваженнями, в межах яких діють самостійно і несуть відповідальність за свою діяльність відповідно до закону.</w:t>
      </w:r>
      <w:r w:rsidR="00D719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Департамент ЖКГ ММР </w:t>
      </w:r>
      <w:r w:rsidR="00CD21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  </w:t>
      </w:r>
      <w:r w:rsidR="00D719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визначений головним розпорядником бюджетних коштів у відповідності до покладених на нього функцій. Аналізуючи використання даним органом бюджетних коштів Фонд дійшов висновку, що</w:t>
      </w: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цей орган займається нецільовим використанням фінансових ресурсів з </w:t>
      </w:r>
      <w:r w:rsidRPr="00D719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EE7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D719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ського</w:t>
      </w: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бюджету, </w:t>
      </w:r>
      <w:r w:rsidR="00D719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та/або сприяє нецільовому і </w:t>
      </w:r>
      <w:r w:rsidR="00CD21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неефективному використанню</w:t>
      </w:r>
      <w:r w:rsidR="00D719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бюджетних коштів визначени</w:t>
      </w:r>
      <w:r w:rsidR="00CD21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</w:t>
      </w:r>
      <w:r w:rsidR="00D719B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департаментом підрядник</w:t>
      </w:r>
      <w:r w:rsidR="00CD21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ами</w:t>
      </w:r>
      <w:r w:rsidRPr="00577F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D719BF" w:rsidRDefault="00D719BF" w:rsidP="00D719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2B1B" w:rsidRPr="00577F54" w:rsidRDefault="00A27736" w:rsidP="00D719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 саме:</w:t>
      </w:r>
    </w:p>
    <w:p w:rsidR="008D0165" w:rsidRPr="008D0165" w:rsidRDefault="00EE7409" w:rsidP="00471820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C2B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відповідності до рішень  міськради про бюджет 2014р у додатку 3.1. до бюджету в переліку бюджетних програм по департаменту ЖКГ</w:t>
      </w:r>
      <w:r w:rsidR="004718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Мик</w:t>
      </w:r>
      <w:r w:rsidR="0047182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олаївської міської ради</w:t>
      </w:r>
      <w:r w:rsidRPr="00EC2B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D01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Pr="00EC2B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бюджетна програма </w:t>
      </w:r>
      <w:r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КФКВК 100203</w:t>
      </w:r>
      <w:r w:rsidR="0047182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«</w:t>
      </w:r>
      <w:r w:rsidR="00471820" w:rsidRPr="0047182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Благоустрій міст, сіл, селищ</w:t>
      </w:r>
      <w:r w:rsidR="0047182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»</w:t>
      </w:r>
      <w:r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.   </w:t>
      </w:r>
      <w:r w:rsid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Згідно звіту про виконанню паспорту</w:t>
      </w:r>
      <w:r w:rsidR="0047182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даної</w:t>
      </w:r>
      <w:r w:rsid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бюджетної програми за 2014р:</w:t>
      </w:r>
    </w:p>
    <w:p w:rsidR="00EC2B1B" w:rsidRDefault="008D0165" w:rsidP="004718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п</w:t>
      </w:r>
      <w:r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о завданню 1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«</w:t>
      </w:r>
      <w:r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Забезпечення та утримання на належному рівні зеленої зони населеного пункту та поліпшення його екологічних умов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» касові видатки склали </w:t>
      </w:r>
      <w:r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8041,23675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тис.грн</w:t>
      </w:r>
      <w:proofErr w:type="spellEnd"/>
      <w:r w:rsid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., кредиторська заборгованість – 384.23925 </w:t>
      </w:r>
      <w:proofErr w:type="spellStart"/>
      <w:r w:rsid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тис.грн</w:t>
      </w:r>
      <w:proofErr w:type="spellEnd"/>
    </w:p>
    <w:p w:rsidR="00D411A3" w:rsidRDefault="008D0165" w:rsidP="004718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- по завданню 2 «</w:t>
      </w:r>
      <w:r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Санітарне прибирання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» касові видатки склали </w:t>
      </w:r>
      <w:r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3673,5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.</w:t>
      </w:r>
      <w:r w:rsid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</w:p>
    <w:p w:rsidR="00D411A3" w:rsidRDefault="00D411A3" w:rsidP="004718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</w:p>
    <w:p w:rsidR="008D0165" w:rsidRDefault="00D411A3" w:rsidP="0047182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Р</w:t>
      </w:r>
      <w:r w:rsid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азо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м</w:t>
      </w:r>
      <w:r w:rsid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по завданнях 1,2 було витрачено бюджетних коштів в сумі 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12098,97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тис. грн.</w:t>
      </w:r>
    </w:p>
    <w:p w:rsidR="00D411A3" w:rsidRDefault="00D411A3" w:rsidP="0047182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</w:t>
      </w:r>
      <w:r w:rsidRP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ериторія </w:t>
      </w:r>
      <w:r w:rsidR="00470AE6" w:rsidRP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об’єктів</w:t>
      </w:r>
      <w:r w:rsidRP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зеленого господарства, на якій 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здійснювались</w:t>
      </w:r>
      <w:r w:rsidRP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заходи завдань 1,2 дорівнює </w:t>
      </w:r>
      <w:r w:rsidRPr="00D411A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132,6038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Га.</w:t>
      </w:r>
    </w:p>
    <w:p w:rsidR="00812281" w:rsidRDefault="00D411A3" w:rsidP="0081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Тобто у 2014р витрати міського бюджету на 1 Га по завданнях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1, 2 склали 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91,24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.</w:t>
      </w:r>
      <w:r w:rsidR="00812281" w:rsidRPr="00812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28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робіт по завданню 1, 2 – переможець </w:t>
      </w:r>
      <w:r w:rsidR="002F4A61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812281">
        <w:rPr>
          <w:rFonts w:ascii="Times New Roman" w:hAnsi="Times New Roman" w:cs="Times New Roman"/>
          <w:sz w:val="24"/>
          <w:szCs w:val="24"/>
          <w:lang w:val="uk-UA"/>
        </w:rPr>
        <w:t xml:space="preserve"> - ТОВ «</w:t>
      </w:r>
      <w:proofErr w:type="spellStart"/>
      <w:r w:rsidR="00812281">
        <w:rPr>
          <w:rFonts w:ascii="Times New Roman" w:hAnsi="Times New Roman" w:cs="Times New Roman"/>
          <w:sz w:val="24"/>
          <w:szCs w:val="24"/>
          <w:lang w:val="uk-UA"/>
        </w:rPr>
        <w:t>Миколаївзеленгосп</w:t>
      </w:r>
      <w:proofErr w:type="spellEnd"/>
      <w:r w:rsidR="00812281">
        <w:rPr>
          <w:rFonts w:ascii="Times New Roman" w:hAnsi="Times New Roman" w:cs="Times New Roman"/>
          <w:sz w:val="24"/>
          <w:szCs w:val="24"/>
          <w:lang w:val="uk-UA"/>
        </w:rPr>
        <w:t>» , ОКПО 363837789.</w:t>
      </w:r>
    </w:p>
    <w:p w:rsidR="00D411A3" w:rsidRDefault="00D411A3" w:rsidP="0047182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</w:p>
    <w:p w:rsidR="00D411A3" w:rsidRDefault="00D411A3" w:rsidP="0047182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Фонд розвитку м. Миколаєва провів дослідження аналогічних витрат по іншим регіонам України та виявив, що по м. Києву 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по </w:t>
      </w:r>
      <w:r w:rsidR="0047182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бюджетній програмі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КФКВК 100203 </w:t>
      </w:r>
      <w:r w:rsidR="00CD21B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та 240900 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витрати на «</w:t>
      </w:r>
      <w:r w:rsidR="00470AE6"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Забезпечення та утримання на належному рівні зеленої зони населеного пункту та поліпшення його екологічних умов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» та «</w:t>
      </w:r>
      <w:r w:rsidR="00470AE6" w:rsidRPr="008D0165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Санітарне прибирання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» 1 Га на рік склали</w:t>
      </w:r>
      <w:r w:rsidR="00D719B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(вибірково)</w:t>
      </w:r>
      <w:r w:rsidR="00470AE6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:</w:t>
      </w:r>
    </w:p>
    <w:p w:rsidR="00470AE6" w:rsidRPr="00812281" w:rsidRDefault="00470AE6" w:rsidP="00471820">
      <w:pPr>
        <w:pStyle w:val="a8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2281">
        <w:rPr>
          <w:rFonts w:ascii="Times New Roman" w:hAnsi="Times New Roman" w:cs="Times New Roman"/>
          <w:sz w:val="24"/>
          <w:szCs w:val="24"/>
          <w:lang w:val="uk-UA"/>
        </w:rPr>
        <w:t xml:space="preserve">Святошинська РДА м. Київ – 11,85 </w:t>
      </w:r>
      <w:proofErr w:type="spellStart"/>
      <w:r w:rsidRPr="0081228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12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AE6" w:rsidRPr="00812281" w:rsidRDefault="00470AE6" w:rsidP="00471820">
      <w:pPr>
        <w:pStyle w:val="a8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2281">
        <w:rPr>
          <w:rFonts w:ascii="Times New Roman" w:hAnsi="Times New Roman" w:cs="Times New Roman"/>
          <w:sz w:val="24"/>
          <w:szCs w:val="24"/>
          <w:lang w:val="uk-UA"/>
        </w:rPr>
        <w:t xml:space="preserve">Печерська РДА м. Київ – 34.64 </w:t>
      </w:r>
      <w:proofErr w:type="spellStart"/>
      <w:r w:rsidRPr="0081228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470AE6" w:rsidRPr="00812281" w:rsidRDefault="00470AE6" w:rsidP="00471820">
      <w:pPr>
        <w:pStyle w:val="a8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2281">
        <w:rPr>
          <w:rFonts w:ascii="Times New Roman" w:hAnsi="Times New Roman" w:cs="Times New Roman"/>
          <w:sz w:val="24"/>
          <w:szCs w:val="24"/>
          <w:lang w:val="uk-UA"/>
        </w:rPr>
        <w:t>Шевченківська РДА м. Києва – 25,25 тис. грн.</w:t>
      </w:r>
    </w:p>
    <w:p w:rsidR="00470AE6" w:rsidRDefault="00470AE6" w:rsidP="0081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820">
        <w:rPr>
          <w:rFonts w:ascii="Times New Roman" w:hAnsi="Times New Roman" w:cs="Times New Roman"/>
          <w:sz w:val="24"/>
          <w:szCs w:val="24"/>
          <w:lang w:val="uk-UA"/>
        </w:rPr>
        <w:t xml:space="preserve">В 2014р по разом по м. Києву (КМДА та 10 </w:t>
      </w:r>
      <w:proofErr w:type="spellStart"/>
      <w:r w:rsidRPr="00471820">
        <w:rPr>
          <w:rFonts w:ascii="Times New Roman" w:hAnsi="Times New Roman" w:cs="Times New Roman"/>
          <w:sz w:val="24"/>
          <w:szCs w:val="24"/>
          <w:lang w:val="uk-UA"/>
        </w:rPr>
        <w:t>райадміністрацій</w:t>
      </w:r>
      <w:proofErr w:type="spellEnd"/>
      <w:r w:rsidRPr="00471820">
        <w:rPr>
          <w:rFonts w:ascii="Times New Roman" w:hAnsi="Times New Roman" w:cs="Times New Roman"/>
          <w:sz w:val="24"/>
          <w:szCs w:val="24"/>
          <w:lang w:val="uk-UA"/>
        </w:rPr>
        <w:t xml:space="preserve">) по </w:t>
      </w:r>
      <w:r w:rsidRPr="0047182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КФКВК 100203 </w:t>
      </w:r>
      <w:r w:rsidR="002F4A61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та 240900</w:t>
      </w:r>
      <w:r w:rsidRPr="00471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A6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471820">
        <w:rPr>
          <w:rFonts w:ascii="Times New Roman" w:hAnsi="Times New Roman" w:cs="Times New Roman"/>
          <w:sz w:val="24"/>
          <w:szCs w:val="24"/>
          <w:lang w:val="uk-UA"/>
        </w:rPr>
        <w:t>касові видатки склали 132124тис. грн.. Площа зелених насаджень – 7524 Га. Тобто - середні витрати на благоустрій (догляд) за 1 Га території об'єктів зеленого господарства  скла</w:t>
      </w:r>
      <w:r w:rsidR="00D719BF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471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820">
        <w:rPr>
          <w:rFonts w:ascii="Times New Roman" w:hAnsi="Times New Roman" w:cs="Times New Roman"/>
          <w:b/>
          <w:sz w:val="24"/>
          <w:szCs w:val="24"/>
          <w:lang w:val="uk-UA"/>
        </w:rPr>
        <w:t>17,56 !!!!</w:t>
      </w:r>
      <w:r w:rsidRPr="00471820">
        <w:rPr>
          <w:rFonts w:ascii="Times New Roman" w:hAnsi="Times New Roman" w:cs="Times New Roman"/>
          <w:sz w:val="24"/>
          <w:szCs w:val="24"/>
          <w:lang w:val="uk-UA"/>
        </w:rPr>
        <w:t xml:space="preserve"> тис. грн. на рік</w:t>
      </w:r>
      <w:r w:rsidR="00471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2281" w:rsidRDefault="00471820" w:rsidP="0047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порівнянні з м. Миколаєвом різниця витрат – 5,19 разів, що не має ніякого ні економіч</w:t>
      </w:r>
      <w:r w:rsidR="00CD21B0">
        <w:rPr>
          <w:rFonts w:ascii="Times New Roman" w:hAnsi="Times New Roman" w:cs="Times New Roman"/>
          <w:sz w:val="24"/>
          <w:szCs w:val="24"/>
          <w:lang w:val="uk-UA"/>
        </w:rPr>
        <w:t xml:space="preserve">ного ні логічного обґрунтування (територія, зайнята зеленими насадженнями як і м Києві не засаджена елітними чи ексклюзивними деревами , кущами чи квітами. А лише стандартними «міськими» </w:t>
      </w:r>
      <w:r w:rsidR="0067344A">
        <w:rPr>
          <w:rFonts w:ascii="Times New Roman" w:hAnsi="Times New Roman" w:cs="Times New Roman"/>
          <w:sz w:val="24"/>
          <w:szCs w:val="24"/>
          <w:lang w:val="uk-UA"/>
        </w:rPr>
        <w:t>видами</w:t>
      </w:r>
      <w:r w:rsidR="00CD21B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1820" w:rsidRDefault="00471820" w:rsidP="0047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Джерела інформації</w:t>
      </w:r>
      <w:r w:rsidR="008122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1820" w:rsidRPr="00812281" w:rsidRDefault="00471820" w:rsidP="00471820">
      <w:pPr>
        <w:pStyle w:val="a8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2281">
        <w:rPr>
          <w:rFonts w:ascii="Times New Roman" w:hAnsi="Times New Roman" w:cs="Times New Roman"/>
          <w:sz w:val="24"/>
          <w:szCs w:val="24"/>
          <w:lang w:val="uk-UA"/>
        </w:rPr>
        <w:t>Звіти про виконання паспортів бюджетних програм на о</w:t>
      </w:r>
      <w:r w:rsidRPr="00812281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фіційний Інтернет порталі Київської міської державної адміністрації </w:t>
      </w:r>
      <w:hyperlink r:id="rId9" w:history="1">
        <w:r w:rsidRPr="0081228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https://kievcity.gov.ua/content/zvity-pro-vykonannya-pasportiv-byudzhetnyh-program.html</w:t>
        </w:r>
      </w:hyperlink>
      <w:r w:rsidRPr="00812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2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122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AE6" w:rsidRPr="00812281" w:rsidRDefault="00471820" w:rsidP="00812281">
      <w:pPr>
        <w:pStyle w:val="a8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2281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паспорту бюджетної програми місцевого бюджету станом на 01.01.2015  </w:t>
      </w:r>
      <w:r w:rsidRPr="00812281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КФКВК 100203</w:t>
      </w:r>
      <w:r w:rsidR="00D719B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(додається)</w:t>
      </w:r>
      <w:r w:rsidR="00812281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5B18BA" w:rsidRPr="00EC2B1B" w:rsidRDefault="004D6B20" w:rsidP="00EC2B1B">
      <w:pPr>
        <w:pStyle w:val="a7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/>
          <w:bCs/>
          <w:kern w:val="36"/>
          <w:lang w:val="uk-UA"/>
        </w:rPr>
      </w:pPr>
      <w:r w:rsidRPr="00EC2B1B">
        <w:rPr>
          <w:color w:val="000000" w:themeColor="text1"/>
          <w:lang w:val="uk-UA"/>
        </w:rPr>
        <w:t xml:space="preserve">У відповідності до рішень  міськради про бюджет 2014, 2015р у додатку 3.1. до бюджету в переліку бюджетних програм по головному розпоряднику коштів департаменту ЖКГ </w:t>
      </w:r>
      <w:r w:rsidR="005B18BA" w:rsidRPr="00EC2B1B">
        <w:rPr>
          <w:color w:val="000000" w:themeColor="text1"/>
          <w:lang w:val="uk-UA"/>
        </w:rPr>
        <w:t xml:space="preserve">присутня бюджетна програма </w:t>
      </w:r>
      <w:r w:rsidR="005B18BA" w:rsidRPr="00D719BF">
        <w:rPr>
          <w:bCs/>
          <w:kern w:val="36"/>
          <w:lang w:val="uk-UA"/>
        </w:rPr>
        <w:t>КФКВК 100105  «Утримання об'єктів соціальної сфери підприємствам, що передаються до комунальної власності».</w:t>
      </w:r>
    </w:p>
    <w:p w:rsidR="005B18BA" w:rsidRPr="00EC2B1B" w:rsidRDefault="005B18BA" w:rsidP="00C67DC8">
      <w:pPr>
        <w:pStyle w:val="a7"/>
        <w:spacing w:before="0" w:beforeAutospacing="0" w:after="0" w:afterAutospacing="0"/>
        <w:ind w:firstLine="567"/>
        <w:jc w:val="both"/>
        <w:rPr>
          <w:bCs/>
          <w:kern w:val="36"/>
          <w:lang w:val="uk-UA"/>
        </w:rPr>
      </w:pPr>
      <w:r w:rsidRPr="00EC2B1B">
        <w:rPr>
          <w:bCs/>
          <w:kern w:val="36"/>
          <w:lang w:val="uk-UA"/>
        </w:rPr>
        <w:t xml:space="preserve">На запит Фонду розвитку м. Миколаєва </w:t>
      </w:r>
      <w:r w:rsidR="00C71C96" w:rsidRPr="00EC2B1B">
        <w:rPr>
          <w:bCs/>
          <w:kern w:val="36"/>
          <w:lang w:val="uk-UA"/>
        </w:rPr>
        <w:t>щодо</w:t>
      </w:r>
      <w:r w:rsidR="00812281">
        <w:rPr>
          <w:bCs/>
          <w:kern w:val="36"/>
          <w:lang w:val="uk-UA"/>
        </w:rPr>
        <w:t xml:space="preserve"> об’єкту, видатків та джерел</w:t>
      </w:r>
      <w:r w:rsidR="00C71C96" w:rsidRPr="00EC2B1B">
        <w:rPr>
          <w:bCs/>
          <w:kern w:val="36"/>
          <w:lang w:val="uk-UA"/>
        </w:rPr>
        <w:t xml:space="preserve"> фінансування вказаної програми у 2014-2015р</w:t>
      </w:r>
      <w:r w:rsidRPr="00EC2B1B">
        <w:rPr>
          <w:bCs/>
          <w:kern w:val="36"/>
          <w:lang w:val="uk-UA"/>
        </w:rPr>
        <w:t xml:space="preserve"> </w:t>
      </w:r>
      <w:r w:rsidR="00C71C96" w:rsidRPr="00EC2B1B">
        <w:rPr>
          <w:bCs/>
          <w:kern w:val="36"/>
          <w:lang w:val="uk-UA"/>
        </w:rPr>
        <w:t xml:space="preserve"> була отримана відповідь від головного розпорядника коштів</w:t>
      </w:r>
      <w:r w:rsidR="00812281">
        <w:rPr>
          <w:bCs/>
          <w:kern w:val="36"/>
          <w:lang w:val="uk-UA"/>
        </w:rPr>
        <w:t xml:space="preserve"> департаменту ЖКГ Миколаївської міської ради</w:t>
      </w:r>
      <w:r w:rsidR="00C71C96" w:rsidRPr="00EC2B1B">
        <w:rPr>
          <w:bCs/>
          <w:kern w:val="36"/>
          <w:lang w:val="uk-UA"/>
        </w:rPr>
        <w:t xml:space="preserve">, що по даній програмі у 2014 р профінансовані </w:t>
      </w:r>
      <w:r w:rsidR="00812281">
        <w:rPr>
          <w:bCs/>
          <w:kern w:val="36"/>
          <w:lang w:val="uk-UA"/>
        </w:rPr>
        <w:t xml:space="preserve">оплата енергоносіїв </w:t>
      </w:r>
      <w:r w:rsidR="00B10D6B" w:rsidRPr="00EC2B1B">
        <w:rPr>
          <w:bCs/>
          <w:kern w:val="36"/>
          <w:lang w:val="uk-UA"/>
        </w:rPr>
        <w:t xml:space="preserve"> </w:t>
      </w:r>
      <w:r w:rsidR="00812281">
        <w:rPr>
          <w:bCs/>
          <w:kern w:val="36"/>
          <w:lang w:val="uk-UA"/>
        </w:rPr>
        <w:t>та</w:t>
      </w:r>
      <w:r w:rsidR="00533011" w:rsidRPr="00EC2B1B">
        <w:rPr>
          <w:bCs/>
          <w:kern w:val="36"/>
          <w:lang w:val="uk-UA"/>
        </w:rPr>
        <w:t xml:space="preserve"> утримання (</w:t>
      </w:r>
      <w:proofErr w:type="spellStart"/>
      <w:r w:rsidR="00533011" w:rsidRPr="00EC2B1B">
        <w:rPr>
          <w:bCs/>
          <w:kern w:val="36"/>
          <w:lang w:val="uk-UA"/>
        </w:rPr>
        <w:t>з\плата</w:t>
      </w:r>
      <w:proofErr w:type="spellEnd"/>
      <w:r w:rsidR="00533011" w:rsidRPr="00EC2B1B">
        <w:rPr>
          <w:bCs/>
          <w:kern w:val="36"/>
          <w:lang w:val="uk-UA"/>
        </w:rPr>
        <w:t>, нарахування на оплату праці, предмети, обладнання, інвентар) для працівників управління з контр</w:t>
      </w:r>
      <w:r w:rsidR="00B10D6B" w:rsidRPr="00EC2B1B">
        <w:rPr>
          <w:bCs/>
          <w:kern w:val="36"/>
          <w:lang w:val="uk-UA"/>
        </w:rPr>
        <w:t xml:space="preserve">олю за ремонтом, реконструкцією, будівництвом, газифікацією комунальних об’єктів),  </w:t>
      </w:r>
      <w:r w:rsidR="00B10D6B" w:rsidRPr="00812281">
        <w:rPr>
          <w:shd w:val="clear" w:color="auto" w:fill="FFFFFF"/>
          <w:lang w:val="uk-UA"/>
        </w:rPr>
        <w:t>яке утримується за рахунок відрахувань від бюджетних витрат на ремонт, реконструкцію та будівництво (до 2,5 відсотка)</w:t>
      </w:r>
      <w:r w:rsidR="00B10D6B" w:rsidRPr="00EC2B1B">
        <w:rPr>
          <w:bCs/>
          <w:kern w:val="36"/>
          <w:lang w:val="uk-UA"/>
        </w:rPr>
        <w:t xml:space="preserve"> </w:t>
      </w:r>
      <w:proofErr w:type="spellStart"/>
      <w:r w:rsidR="00B10D6B" w:rsidRPr="00EC2B1B">
        <w:rPr>
          <w:bCs/>
          <w:kern w:val="36"/>
          <w:lang w:val="uk-UA"/>
        </w:rPr>
        <w:t>зг</w:t>
      </w:r>
      <w:proofErr w:type="spellEnd"/>
      <w:r w:rsidR="00B10D6B" w:rsidRPr="00EC2B1B">
        <w:rPr>
          <w:bCs/>
          <w:kern w:val="36"/>
          <w:lang w:val="uk-UA"/>
        </w:rPr>
        <w:t xml:space="preserve">. Положення про департамент </w:t>
      </w:r>
      <w:r w:rsidR="009109D3" w:rsidRPr="00EC2B1B">
        <w:rPr>
          <w:bCs/>
          <w:kern w:val="36"/>
          <w:lang w:val="uk-UA"/>
        </w:rPr>
        <w:t xml:space="preserve">ЖКГ </w:t>
      </w:r>
      <w:hyperlink r:id="rId10" w:anchor="depgkx" w:history="1">
        <w:r w:rsidR="009109D3" w:rsidRPr="00EC2B1B">
          <w:rPr>
            <w:rStyle w:val="a4"/>
            <w:bCs/>
            <w:kern w:val="36"/>
            <w:lang w:val="uk-UA"/>
          </w:rPr>
          <w:t>http://mkrada.gov.ua/documents/3942.html#depgkx</w:t>
        </w:r>
      </w:hyperlink>
      <w:r w:rsidR="009109D3" w:rsidRPr="00EC2B1B">
        <w:rPr>
          <w:bCs/>
          <w:kern w:val="36"/>
          <w:lang w:val="uk-UA"/>
        </w:rPr>
        <w:t xml:space="preserve"> </w:t>
      </w:r>
    </w:p>
    <w:p w:rsidR="00C67DC8" w:rsidRDefault="00B10D6B" w:rsidP="00C71C96">
      <w:pPr>
        <w:pStyle w:val="a7"/>
        <w:spacing w:before="0" w:beforeAutospacing="0" w:after="0" w:afterAutospacing="0"/>
        <w:jc w:val="both"/>
        <w:rPr>
          <w:bCs/>
          <w:kern w:val="36"/>
          <w:lang w:val="uk-UA"/>
        </w:rPr>
      </w:pPr>
      <w:r w:rsidRPr="00EC2B1B">
        <w:rPr>
          <w:bCs/>
          <w:kern w:val="36"/>
          <w:lang w:val="uk-UA"/>
        </w:rPr>
        <w:t xml:space="preserve">В структурі департаменту ЖКГ вищевказане управління </w:t>
      </w:r>
      <w:r w:rsidR="00C67DC8">
        <w:rPr>
          <w:bCs/>
          <w:kern w:val="36"/>
          <w:lang w:val="uk-UA"/>
        </w:rPr>
        <w:t>відсутнє</w:t>
      </w:r>
      <w:r w:rsidRPr="00EC2B1B">
        <w:rPr>
          <w:bCs/>
          <w:kern w:val="36"/>
          <w:lang w:val="uk-UA"/>
        </w:rPr>
        <w:t xml:space="preserve"> </w:t>
      </w:r>
      <w:hyperlink r:id="rId11" w:history="1">
        <w:r w:rsidRPr="00EC2B1B">
          <w:rPr>
            <w:rStyle w:val="a4"/>
            <w:bCs/>
            <w:kern w:val="36"/>
            <w:lang w:val="uk-UA"/>
          </w:rPr>
          <w:t>http://mkrada.gov.ua/content/departament-zhitlovokomunalnogo-gospodarstva.html</w:t>
        </w:r>
      </w:hyperlink>
      <w:r w:rsidRPr="00EC2B1B">
        <w:rPr>
          <w:bCs/>
          <w:kern w:val="36"/>
          <w:lang w:val="uk-UA"/>
        </w:rPr>
        <w:t>.</w:t>
      </w:r>
      <w:r w:rsidR="00C67DC8" w:rsidRPr="00C67DC8">
        <w:rPr>
          <w:bCs/>
          <w:kern w:val="36"/>
          <w:lang w:val="uk-UA"/>
        </w:rPr>
        <w:t xml:space="preserve"> </w:t>
      </w:r>
    </w:p>
    <w:p w:rsidR="002C741A" w:rsidRDefault="002C741A" w:rsidP="00C71C96">
      <w:pPr>
        <w:pStyle w:val="a7"/>
        <w:spacing w:before="0" w:beforeAutospacing="0" w:after="0" w:afterAutospacing="0"/>
        <w:jc w:val="both"/>
        <w:rPr>
          <w:bCs/>
          <w:kern w:val="36"/>
          <w:lang w:val="uk-UA"/>
        </w:rPr>
      </w:pPr>
    </w:p>
    <w:p w:rsidR="00DD6A66" w:rsidRPr="002C741A" w:rsidRDefault="007335B1" w:rsidP="00C71C96">
      <w:pPr>
        <w:pStyle w:val="a7"/>
        <w:spacing w:before="0" w:beforeAutospacing="0" w:after="0" w:afterAutospacing="0"/>
        <w:jc w:val="both"/>
        <w:rPr>
          <w:bCs/>
          <w:kern w:val="36"/>
          <w:lang w:val="uk-UA"/>
        </w:rPr>
      </w:pPr>
      <w:r w:rsidRPr="002C741A">
        <w:rPr>
          <w:bCs/>
          <w:kern w:val="36"/>
          <w:lang w:val="uk-UA"/>
        </w:rPr>
        <w:t xml:space="preserve">У зв’язку з вищевикладеним </w:t>
      </w:r>
    </w:p>
    <w:p w:rsidR="007335B1" w:rsidRPr="00577F54" w:rsidRDefault="007335B1" w:rsidP="007335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C74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Просимо:</w:t>
      </w:r>
    </w:p>
    <w:p w:rsidR="007335B1" w:rsidRPr="00CC1EFD" w:rsidRDefault="007335B1" w:rsidP="00812281">
      <w:pPr>
        <w:pStyle w:val="a7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hd w:val="clear" w:color="auto" w:fill="FFFFFF"/>
          <w:lang w:val="uk-UA"/>
        </w:rPr>
      </w:pPr>
      <w:r w:rsidRPr="00CC1EFD">
        <w:rPr>
          <w:bCs/>
          <w:lang w:val="uk-UA"/>
        </w:rPr>
        <w:t xml:space="preserve">Провести </w:t>
      </w:r>
      <w:r w:rsidR="00CC1EFD">
        <w:rPr>
          <w:bCs/>
          <w:kern w:val="36"/>
          <w:lang w:val="uk-UA"/>
        </w:rPr>
        <w:t>інспектування у вигляді ревізії</w:t>
      </w:r>
      <w:r w:rsidRPr="00CC1EFD">
        <w:rPr>
          <w:color w:val="000000"/>
          <w:shd w:val="clear" w:color="auto" w:fill="FFFFFF"/>
          <w:lang w:val="uk-UA"/>
        </w:rPr>
        <w:t xml:space="preserve"> виконавця робіт</w:t>
      </w:r>
      <w:r w:rsidR="00812281" w:rsidRPr="00CC1EFD">
        <w:rPr>
          <w:color w:val="000000"/>
          <w:shd w:val="clear" w:color="auto" w:fill="FFFFFF"/>
          <w:lang w:val="uk-UA"/>
        </w:rPr>
        <w:t xml:space="preserve"> по</w:t>
      </w:r>
      <w:r w:rsidRPr="00CC1EFD">
        <w:rPr>
          <w:color w:val="000000"/>
          <w:shd w:val="clear" w:color="auto" w:fill="FFFFFF"/>
          <w:lang w:val="uk-UA"/>
        </w:rPr>
        <w:t xml:space="preserve"> з</w:t>
      </w:r>
      <w:r w:rsidRPr="00CC1EFD">
        <w:rPr>
          <w:bCs/>
          <w:kern w:val="36"/>
          <w:lang w:val="uk-UA"/>
        </w:rPr>
        <w:t>абезпеченн</w:t>
      </w:r>
      <w:r w:rsidR="00812281" w:rsidRPr="00CC1EFD">
        <w:rPr>
          <w:bCs/>
          <w:kern w:val="36"/>
          <w:lang w:val="uk-UA"/>
        </w:rPr>
        <w:t>ю</w:t>
      </w:r>
      <w:r w:rsidRPr="00CC1EFD">
        <w:rPr>
          <w:bCs/>
          <w:kern w:val="36"/>
          <w:lang w:val="uk-UA"/>
        </w:rPr>
        <w:t xml:space="preserve"> та утриманн</w:t>
      </w:r>
      <w:r w:rsidR="00812281" w:rsidRPr="00CC1EFD">
        <w:rPr>
          <w:bCs/>
          <w:kern w:val="36"/>
          <w:lang w:val="uk-UA"/>
        </w:rPr>
        <w:t>ю</w:t>
      </w:r>
      <w:r w:rsidRPr="00CC1EFD">
        <w:rPr>
          <w:bCs/>
          <w:kern w:val="36"/>
          <w:lang w:val="uk-UA"/>
        </w:rPr>
        <w:t xml:space="preserve"> на належному рівні зеленої зони населеного пункту та поліпшення його екологічних умов</w:t>
      </w:r>
      <w:r w:rsidR="00812281" w:rsidRPr="00CC1EFD">
        <w:rPr>
          <w:bCs/>
          <w:kern w:val="36"/>
          <w:lang w:val="uk-UA"/>
        </w:rPr>
        <w:t>, а також послуги по санітарному догляду – ТОВ «</w:t>
      </w:r>
      <w:proofErr w:type="spellStart"/>
      <w:r w:rsidR="00812281" w:rsidRPr="00CC1EFD">
        <w:rPr>
          <w:bCs/>
          <w:kern w:val="36"/>
          <w:lang w:val="uk-UA"/>
        </w:rPr>
        <w:t>Миколаївзеленгосп</w:t>
      </w:r>
      <w:proofErr w:type="spellEnd"/>
      <w:r w:rsidR="00812281" w:rsidRPr="00CC1EFD">
        <w:rPr>
          <w:bCs/>
          <w:kern w:val="36"/>
          <w:lang w:val="uk-UA"/>
        </w:rPr>
        <w:t>»</w:t>
      </w:r>
      <w:r w:rsidRPr="00CC1EFD">
        <w:rPr>
          <w:color w:val="000000"/>
          <w:shd w:val="clear" w:color="auto" w:fill="FFFFFF"/>
          <w:lang w:val="uk-UA"/>
        </w:rPr>
        <w:t xml:space="preserve"> по  </w:t>
      </w:r>
      <w:proofErr w:type="spellStart"/>
      <w:r w:rsidR="00812281" w:rsidRPr="00CC1EFD">
        <w:rPr>
          <w:color w:val="000000"/>
          <w:shd w:val="clear" w:color="auto" w:fill="FFFFFF"/>
        </w:rPr>
        <w:t>перевірці</w:t>
      </w:r>
      <w:proofErr w:type="spellEnd"/>
      <w:r w:rsidR="00812281" w:rsidRPr="00CC1EFD">
        <w:rPr>
          <w:color w:val="000000"/>
          <w:shd w:val="clear" w:color="auto" w:fill="FFFFFF"/>
        </w:rPr>
        <w:t xml:space="preserve"> </w:t>
      </w:r>
      <w:r w:rsidRPr="00CC1EFD">
        <w:rPr>
          <w:color w:val="000000"/>
          <w:shd w:val="clear" w:color="auto" w:fill="FFFFFF"/>
        </w:rPr>
        <w:t xml:space="preserve">фактичного стану справ </w:t>
      </w:r>
      <w:proofErr w:type="spellStart"/>
      <w:r w:rsidRPr="00CC1EFD">
        <w:rPr>
          <w:color w:val="000000"/>
          <w:shd w:val="clear" w:color="auto" w:fill="FFFFFF"/>
        </w:rPr>
        <w:t>щодо</w:t>
      </w:r>
      <w:proofErr w:type="spellEnd"/>
      <w:r w:rsidRPr="00CC1EFD">
        <w:rPr>
          <w:color w:val="000000"/>
          <w:shd w:val="clear" w:color="auto" w:fill="FFFFFF"/>
        </w:rPr>
        <w:t xml:space="preserve"> законного та </w:t>
      </w:r>
      <w:proofErr w:type="spellStart"/>
      <w:r w:rsidRPr="00CC1EFD">
        <w:rPr>
          <w:color w:val="000000"/>
          <w:shd w:val="clear" w:color="auto" w:fill="FFFFFF"/>
        </w:rPr>
        <w:t>ефективного</w:t>
      </w:r>
      <w:proofErr w:type="spellEnd"/>
      <w:r w:rsidRPr="00CC1EFD">
        <w:rPr>
          <w:color w:val="000000"/>
          <w:shd w:val="clear" w:color="auto" w:fill="FFFFFF"/>
        </w:rPr>
        <w:t xml:space="preserve"> </w:t>
      </w:r>
      <w:proofErr w:type="spellStart"/>
      <w:r w:rsidRPr="00CC1EFD">
        <w:rPr>
          <w:color w:val="000000"/>
          <w:shd w:val="clear" w:color="auto" w:fill="FFFFFF"/>
        </w:rPr>
        <w:t>використання</w:t>
      </w:r>
      <w:proofErr w:type="spellEnd"/>
      <w:r w:rsidRPr="00CC1EFD">
        <w:rPr>
          <w:color w:val="000000"/>
          <w:shd w:val="clear" w:color="auto" w:fill="FFFFFF"/>
        </w:rPr>
        <w:t xml:space="preserve">  </w:t>
      </w:r>
      <w:proofErr w:type="spellStart"/>
      <w:r w:rsidRPr="00CC1EFD">
        <w:rPr>
          <w:color w:val="000000"/>
          <w:shd w:val="clear" w:color="auto" w:fill="FFFFFF"/>
        </w:rPr>
        <w:t>коштів</w:t>
      </w:r>
      <w:proofErr w:type="spellEnd"/>
      <w:r w:rsidRPr="00CC1EFD">
        <w:rPr>
          <w:color w:val="000000"/>
          <w:shd w:val="clear" w:color="auto" w:fill="FFFFFF"/>
        </w:rPr>
        <w:t xml:space="preserve"> </w:t>
      </w:r>
      <w:r w:rsidR="00812281" w:rsidRPr="00CC1EFD">
        <w:rPr>
          <w:color w:val="000000"/>
          <w:shd w:val="clear" w:color="auto" w:fill="FFFFFF"/>
          <w:lang w:val="uk-UA"/>
        </w:rPr>
        <w:t>міського бюджету у 2014р.</w:t>
      </w:r>
    </w:p>
    <w:p w:rsidR="00CC1EFD" w:rsidRPr="00D604E8" w:rsidRDefault="00812281" w:rsidP="00812281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bCs/>
          <w:kern w:val="36"/>
          <w:lang w:val="uk-UA"/>
        </w:rPr>
      </w:pPr>
      <w:r w:rsidRPr="00D604E8">
        <w:rPr>
          <w:color w:val="000000"/>
          <w:shd w:val="clear" w:color="auto" w:fill="FFFFFF"/>
          <w:lang w:val="uk-UA"/>
        </w:rPr>
        <w:t>Надати роз’яснення щодо</w:t>
      </w:r>
      <w:r w:rsidR="00CD21B0">
        <w:rPr>
          <w:color w:val="000000"/>
          <w:shd w:val="clear" w:color="auto" w:fill="FFFFFF"/>
          <w:lang w:val="uk-UA"/>
        </w:rPr>
        <w:t>:</w:t>
      </w:r>
      <w:r w:rsidRPr="00D604E8">
        <w:rPr>
          <w:color w:val="000000"/>
          <w:shd w:val="clear" w:color="auto" w:fill="FFFFFF"/>
          <w:lang w:val="uk-UA"/>
        </w:rPr>
        <w:t xml:space="preserve"> </w:t>
      </w:r>
    </w:p>
    <w:p w:rsidR="00812281" w:rsidRPr="00D604E8" w:rsidRDefault="00812281" w:rsidP="00CC1EFD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Cs/>
          <w:kern w:val="36"/>
          <w:lang w:val="uk-UA"/>
        </w:rPr>
      </w:pPr>
      <w:r w:rsidRPr="00D604E8">
        <w:rPr>
          <w:color w:val="000000"/>
          <w:shd w:val="clear" w:color="auto" w:fill="FFFFFF"/>
          <w:lang w:val="uk-UA"/>
        </w:rPr>
        <w:t xml:space="preserve">законності </w:t>
      </w:r>
      <w:r w:rsidR="00CC1EFD" w:rsidRPr="00D604E8">
        <w:rPr>
          <w:color w:val="000000"/>
          <w:shd w:val="clear" w:color="auto" w:fill="FFFFFF"/>
          <w:lang w:val="uk-UA"/>
        </w:rPr>
        <w:t xml:space="preserve">джерела фінансування (2,5% </w:t>
      </w:r>
      <w:r w:rsidR="00CC1EFD" w:rsidRPr="00D604E8">
        <w:rPr>
          <w:shd w:val="clear" w:color="auto" w:fill="FFFFFF"/>
          <w:lang w:val="uk-UA"/>
        </w:rPr>
        <w:t>відрахувань від бюджетних витрат на ремонт, реконструкцію та будівництво</w:t>
      </w:r>
      <w:r w:rsidR="00CC1EFD" w:rsidRPr="00D604E8">
        <w:rPr>
          <w:color w:val="000000"/>
          <w:shd w:val="clear" w:color="auto" w:fill="FFFFFF"/>
          <w:lang w:val="uk-UA"/>
        </w:rPr>
        <w:t xml:space="preserve">) утримання </w:t>
      </w:r>
      <w:r w:rsidR="00CC1EFD" w:rsidRPr="00D604E8">
        <w:rPr>
          <w:bCs/>
          <w:kern w:val="36"/>
          <w:lang w:val="uk-UA"/>
        </w:rPr>
        <w:t>(</w:t>
      </w:r>
      <w:proofErr w:type="spellStart"/>
      <w:r w:rsidR="00CC1EFD" w:rsidRPr="00D604E8">
        <w:rPr>
          <w:bCs/>
          <w:kern w:val="36"/>
          <w:lang w:val="uk-UA"/>
        </w:rPr>
        <w:t>з\плата</w:t>
      </w:r>
      <w:proofErr w:type="spellEnd"/>
      <w:r w:rsidR="00CC1EFD" w:rsidRPr="00D604E8">
        <w:rPr>
          <w:bCs/>
          <w:kern w:val="36"/>
          <w:lang w:val="uk-UA"/>
        </w:rPr>
        <w:t>, нарахування на оплату праці, предмети, обладнання, інвентар)</w:t>
      </w:r>
      <w:r w:rsidR="00CD21B0">
        <w:rPr>
          <w:bCs/>
          <w:kern w:val="36"/>
          <w:lang w:val="uk-UA"/>
        </w:rPr>
        <w:t xml:space="preserve"> частини</w:t>
      </w:r>
      <w:r w:rsidR="00CC1EFD" w:rsidRPr="00D604E8">
        <w:rPr>
          <w:bCs/>
          <w:kern w:val="36"/>
          <w:lang w:val="uk-UA"/>
        </w:rPr>
        <w:t xml:space="preserve"> посадових осіб </w:t>
      </w:r>
      <w:r w:rsidRPr="00D604E8">
        <w:rPr>
          <w:color w:val="000000"/>
          <w:shd w:val="clear" w:color="auto" w:fill="FFFFFF"/>
          <w:lang w:val="uk-UA"/>
        </w:rPr>
        <w:t xml:space="preserve"> департаменту ЖКГ ММР</w:t>
      </w:r>
      <w:r w:rsidR="00CD21B0">
        <w:rPr>
          <w:color w:val="000000"/>
          <w:shd w:val="clear" w:color="auto" w:fill="FFFFFF"/>
          <w:lang w:val="uk-UA"/>
        </w:rPr>
        <w:t>, якщо такі наявні.</w:t>
      </w:r>
    </w:p>
    <w:p w:rsidR="00D604E8" w:rsidRPr="00D719BF" w:rsidRDefault="00CC1EFD" w:rsidP="007335B1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Cs/>
          <w:kern w:val="36"/>
          <w:lang w:val="uk-UA"/>
        </w:rPr>
      </w:pPr>
      <w:r w:rsidRPr="00D719BF">
        <w:rPr>
          <w:color w:val="000000"/>
          <w:shd w:val="clear" w:color="auto" w:fill="FFFFFF"/>
          <w:lang w:val="uk-UA"/>
        </w:rPr>
        <w:t xml:space="preserve">розмежування видатків на оплату праці та нарахувань </w:t>
      </w:r>
      <w:r w:rsidRPr="00D719BF">
        <w:rPr>
          <w:bCs/>
          <w:kern w:val="36"/>
          <w:lang w:val="uk-UA"/>
        </w:rPr>
        <w:t xml:space="preserve">посадових осіб </w:t>
      </w:r>
      <w:r w:rsidRPr="00D719BF">
        <w:rPr>
          <w:color w:val="000000"/>
          <w:shd w:val="clear" w:color="auto" w:fill="FFFFFF"/>
          <w:lang w:val="uk-UA"/>
        </w:rPr>
        <w:t xml:space="preserve"> департаменту ЖКГ ММР по</w:t>
      </w:r>
      <w:r w:rsidR="002C741A" w:rsidRPr="00D719BF">
        <w:rPr>
          <w:color w:val="000000"/>
          <w:shd w:val="clear" w:color="auto" w:fill="FFFFFF"/>
          <w:lang w:val="uk-UA"/>
        </w:rPr>
        <w:t xml:space="preserve"> бюджетним програмам: загального фонду</w:t>
      </w:r>
      <w:r w:rsidR="00D604E8" w:rsidRPr="00D719BF">
        <w:rPr>
          <w:color w:val="000000"/>
          <w:shd w:val="clear" w:color="auto" w:fill="FFFFFF"/>
          <w:lang w:val="uk-UA"/>
        </w:rPr>
        <w:t xml:space="preserve"> по</w:t>
      </w:r>
      <w:r w:rsidR="002C741A" w:rsidRPr="00D719BF">
        <w:rPr>
          <w:color w:val="000000"/>
          <w:shd w:val="clear" w:color="auto" w:fill="FFFFFF"/>
          <w:lang w:val="uk-UA"/>
        </w:rPr>
        <w:t xml:space="preserve"> КТКВК 01</w:t>
      </w:r>
      <w:r w:rsidR="00D604E8" w:rsidRPr="00D719BF">
        <w:rPr>
          <w:color w:val="000000"/>
          <w:shd w:val="clear" w:color="auto" w:fill="FFFFFF"/>
          <w:lang w:val="uk-UA"/>
        </w:rPr>
        <w:t>0</w:t>
      </w:r>
      <w:r w:rsidR="002C741A" w:rsidRPr="00D719BF">
        <w:rPr>
          <w:color w:val="000000"/>
          <w:shd w:val="clear" w:color="auto" w:fill="FFFFFF"/>
          <w:lang w:val="uk-UA"/>
        </w:rPr>
        <w:t xml:space="preserve">116 </w:t>
      </w:r>
      <w:r w:rsidR="00D604E8" w:rsidRPr="00D719BF">
        <w:rPr>
          <w:color w:val="000000"/>
          <w:shd w:val="clear" w:color="auto" w:fill="FFFFFF"/>
          <w:lang w:val="uk-UA"/>
        </w:rPr>
        <w:t>«Органи місцевого самоврядування» та спеціального фонду місцевого бюджету по КТКВК 100105 «</w:t>
      </w:r>
      <w:r w:rsidR="00D604E8" w:rsidRPr="00D719BF">
        <w:rPr>
          <w:rFonts w:ascii="Roboto Condensed" w:hAnsi="Roboto Condensed"/>
          <w:bCs/>
          <w:lang w:val="uk-UA"/>
        </w:rPr>
        <w:t>Видатки на утримання об'єктів соціальної сфери підприємств, що передаються до комунальної власності</w:t>
      </w:r>
      <w:r w:rsidR="00D604E8" w:rsidRPr="00D719BF">
        <w:rPr>
          <w:rFonts w:ascii="Roboto Condensed" w:hAnsi="Roboto Condensed" w:hint="eastAsia"/>
          <w:bCs/>
          <w:lang w:val="uk-UA"/>
        </w:rPr>
        <w:t>»</w:t>
      </w:r>
    </w:p>
    <w:p w:rsidR="00D604E8" w:rsidRDefault="00D604E8" w:rsidP="00D604E8">
      <w:pPr>
        <w:spacing w:after="0" w:line="240" w:lineRule="auto"/>
        <w:jc w:val="both"/>
        <w:outlineLvl w:val="2"/>
        <w:rPr>
          <w:rFonts w:ascii="Roboto Condensed" w:eastAsia="Times New Roman" w:hAnsi="Roboto Condensed" w:cs="Times New Roman"/>
          <w:bCs/>
          <w:sz w:val="27"/>
          <w:szCs w:val="27"/>
          <w:lang w:val="uk-UA" w:eastAsia="ru-RU"/>
        </w:rPr>
      </w:pPr>
    </w:p>
    <w:p w:rsidR="00D604E8" w:rsidRPr="00D604E8" w:rsidRDefault="00D604E8" w:rsidP="00D604E8">
      <w:pPr>
        <w:spacing w:after="0" w:line="240" w:lineRule="auto"/>
        <w:jc w:val="both"/>
        <w:outlineLvl w:val="2"/>
        <w:rPr>
          <w:rFonts w:ascii="Roboto Condensed" w:eastAsia="Times New Roman" w:hAnsi="Roboto Condensed" w:cs="Times New Roman"/>
          <w:bCs/>
          <w:sz w:val="27"/>
          <w:szCs w:val="27"/>
          <w:lang w:val="uk-UA" w:eastAsia="ru-RU"/>
        </w:rPr>
      </w:pPr>
      <w:r w:rsidRPr="00D604E8">
        <w:rPr>
          <w:rFonts w:ascii="Roboto Condensed" w:eastAsia="Times New Roman" w:hAnsi="Roboto Condensed" w:cs="Times New Roman"/>
          <w:bCs/>
          <w:sz w:val="27"/>
          <w:szCs w:val="27"/>
          <w:lang w:val="uk-UA" w:eastAsia="ru-RU"/>
        </w:rPr>
        <w:t>Додаток:</w:t>
      </w:r>
    </w:p>
    <w:p w:rsidR="00D604E8" w:rsidRPr="00D719BF" w:rsidRDefault="00D604E8" w:rsidP="00D604E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9BF">
        <w:rPr>
          <w:rFonts w:ascii="Times New Roman" w:hAnsi="Times New Roman" w:cs="Times New Roman"/>
          <w:sz w:val="24"/>
          <w:szCs w:val="24"/>
          <w:lang w:val="uk-UA"/>
        </w:rPr>
        <w:t>копія відповіді департаменту ЖКГ Миколаївської міської ради на за</w:t>
      </w:r>
      <w:r w:rsidR="0067344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719BF">
        <w:rPr>
          <w:rFonts w:ascii="Times New Roman" w:hAnsi="Times New Roman" w:cs="Times New Roman"/>
          <w:sz w:val="24"/>
          <w:szCs w:val="24"/>
          <w:lang w:val="uk-UA"/>
        </w:rPr>
        <w:t>ит ММГО</w:t>
      </w:r>
      <w:r w:rsidR="00673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9BF">
        <w:rPr>
          <w:rFonts w:ascii="Times New Roman" w:hAnsi="Times New Roman" w:cs="Times New Roman"/>
          <w:sz w:val="24"/>
          <w:szCs w:val="24"/>
          <w:lang w:val="uk-UA"/>
        </w:rPr>
        <w:t>«Фонд розвитку м. Миколаєва</w:t>
      </w:r>
      <w:r w:rsidR="0067344A">
        <w:rPr>
          <w:rFonts w:ascii="Times New Roman" w:hAnsi="Times New Roman" w:cs="Times New Roman"/>
          <w:sz w:val="24"/>
          <w:szCs w:val="24"/>
          <w:lang w:val="uk-UA"/>
        </w:rPr>
        <w:t xml:space="preserve"> на ____арк.</w:t>
      </w:r>
    </w:p>
    <w:p w:rsidR="00D604E8" w:rsidRPr="00D719BF" w:rsidRDefault="00D604E8" w:rsidP="00D604E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9BF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67344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719BF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паспортів бюджетних програм КТКВК 100203 та 100105</w:t>
      </w:r>
      <w:r w:rsidR="0067344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бюджету Миколаєва за 2013, 2014р на ____арк</w:t>
      </w:r>
    </w:p>
    <w:p w:rsidR="00D604E8" w:rsidRPr="00D719BF" w:rsidRDefault="00D604E8" w:rsidP="004D6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04E8" w:rsidRPr="00D719BF" w:rsidRDefault="00D604E8" w:rsidP="004D6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6B20" w:rsidRPr="00D719BF" w:rsidRDefault="004D6B20" w:rsidP="004D6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9BF"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</w:t>
      </w:r>
    </w:p>
    <w:p w:rsidR="004D6B20" w:rsidRPr="00D719BF" w:rsidRDefault="004D6B20" w:rsidP="004D6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9BF">
        <w:rPr>
          <w:rFonts w:ascii="Times New Roman" w:hAnsi="Times New Roman" w:cs="Times New Roman"/>
          <w:sz w:val="24"/>
          <w:szCs w:val="24"/>
          <w:lang w:val="uk-UA"/>
        </w:rPr>
        <w:t xml:space="preserve">ММГО «Фонд розвитку м. Миколаєва»                                   М. </w:t>
      </w:r>
      <w:proofErr w:type="spellStart"/>
      <w:r w:rsidRPr="00D719BF">
        <w:rPr>
          <w:rFonts w:ascii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 w:rsidRPr="00D719B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D6B20" w:rsidRPr="00D719BF" w:rsidRDefault="004D6B20" w:rsidP="004D6B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7F8F" w:rsidRPr="004D6B20" w:rsidRDefault="00017F8F">
      <w:pPr>
        <w:rPr>
          <w:lang w:val="uk-UA"/>
        </w:rPr>
      </w:pPr>
    </w:p>
    <w:sectPr w:rsidR="00017F8F" w:rsidRPr="004D6B20" w:rsidSect="0029328B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singleLevel"/>
    <w:tmpl w:val="0000003F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A6805E9"/>
    <w:multiLevelType w:val="hybridMultilevel"/>
    <w:tmpl w:val="33F47D3E"/>
    <w:lvl w:ilvl="0" w:tplc="5BEE15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049D"/>
    <w:multiLevelType w:val="hybridMultilevel"/>
    <w:tmpl w:val="DEA06556"/>
    <w:lvl w:ilvl="0" w:tplc="C0CA9AE6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A19F1"/>
    <w:multiLevelType w:val="hybridMultilevel"/>
    <w:tmpl w:val="2082759C"/>
    <w:lvl w:ilvl="0" w:tplc="EEE0C2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D69FA"/>
    <w:multiLevelType w:val="hybridMultilevel"/>
    <w:tmpl w:val="7D06E78C"/>
    <w:lvl w:ilvl="0" w:tplc="A8348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D6B20"/>
    <w:rsid w:val="00017F8F"/>
    <w:rsid w:val="002C741A"/>
    <w:rsid w:val="002F4A61"/>
    <w:rsid w:val="003C7EAF"/>
    <w:rsid w:val="00470AE6"/>
    <w:rsid w:val="00471820"/>
    <w:rsid w:val="004D6B20"/>
    <w:rsid w:val="00533011"/>
    <w:rsid w:val="005B18BA"/>
    <w:rsid w:val="0067344A"/>
    <w:rsid w:val="007335B1"/>
    <w:rsid w:val="007A3AA2"/>
    <w:rsid w:val="00812281"/>
    <w:rsid w:val="00823DBE"/>
    <w:rsid w:val="008917C6"/>
    <w:rsid w:val="008D0165"/>
    <w:rsid w:val="009109D3"/>
    <w:rsid w:val="00A27736"/>
    <w:rsid w:val="00AA2CB5"/>
    <w:rsid w:val="00B10D6B"/>
    <w:rsid w:val="00B53618"/>
    <w:rsid w:val="00C56713"/>
    <w:rsid w:val="00C67DC8"/>
    <w:rsid w:val="00C71C96"/>
    <w:rsid w:val="00CC1EFD"/>
    <w:rsid w:val="00CD21B0"/>
    <w:rsid w:val="00D411A3"/>
    <w:rsid w:val="00D604E8"/>
    <w:rsid w:val="00D719BF"/>
    <w:rsid w:val="00D7222A"/>
    <w:rsid w:val="00DD6A66"/>
    <w:rsid w:val="00EC2B1B"/>
    <w:rsid w:val="00E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20"/>
  </w:style>
  <w:style w:type="paragraph" w:styleId="1">
    <w:name w:val="heading 1"/>
    <w:basedOn w:val="a"/>
    <w:next w:val="a"/>
    <w:link w:val="10"/>
    <w:qFormat/>
    <w:rsid w:val="004D6B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B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Strong"/>
    <w:basedOn w:val="a0"/>
    <w:qFormat/>
    <w:rsid w:val="004D6B20"/>
    <w:rPr>
      <w:b/>
      <w:bCs/>
    </w:rPr>
  </w:style>
  <w:style w:type="character" w:styleId="a4">
    <w:name w:val="Hyperlink"/>
    <w:basedOn w:val="a0"/>
    <w:uiPriority w:val="99"/>
    <w:unhideWhenUsed/>
    <w:rsid w:val="004D6B20"/>
    <w:rPr>
      <w:color w:val="0000FF" w:themeColor="hyperlink"/>
      <w:u w:val="single"/>
    </w:rPr>
  </w:style>
  <w:style w:type="paragraph" w:customStyle="1" w:styleId="11">
    <w:name w:val="Без интервала1"/>
    <w:link w:val="NoSpacingChar"/>
    <w:uiPriority w:val="1"/>
    <w:qFormat/>
    <w:rsid w:val="004D6B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uiPriority w:val="1"/>
    <w:locked/>
    <w:rsid w:val="004D6B2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B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7409"/>
    <w:pPr>
      <w:ind w:left="720"/>
      <w:contextualSpacing/>
    </w:pPr>
  </w:style>
  <w:style w:type="character" w:customStyle="1" w:styleId="rvts23">
    <w:name w:val="rvts23"/>
    <w:basedOn w:val="a0"/>
    <w:rsid w:val="00471820"/>
  </w:style>
  <w:style w:type="character" w:styleId="a9">
    <w:name w:val="FollowedHyperlink"/>
    <w:basedOn w:val="a0"/>
    <w:uiPriority w:val="99"/>
    <w:semiHidden/>
    <w:unhideWhenUsed/>
    <w:rsid w:val="00471820"/>
    <w:rPr>
      <w:color w:val="800080" w:themeColor="followedHyperlink"/>
      <w:u w:val="single"/>
    </w:rPr>
  </w:style>
  <w:style w:type="paragraph" w:customStyle="1" w:styleId="rvps2">
    <w:name w:val="rvps2"/>
    <w:basedOn w:val="a"/>
    <w:rsid w:val="002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nik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gn.mk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krada.gov.ua/content/departament-zhitlovokomunalnogo-gospodarstva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krada.gov.ua/documents/39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evcity.gov.ua/content/zvity-pro-vykonannya-pasportiv-byudzhetnyh-progr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У відповідності до Положення про Державну фінансову інспекцію, Держфінінспекці</vt:lpstr>
      <vt:lpstr>        Держфінінспекція України з метою організації своєї роботи забезпечує в межах пов</vt:lpstr>
      <vt:lpstr>        У своїй діяльності Держфінінспекція України керується Конституцією та Законам</vt:lpstr>
      <vt:lpstr>        У відповідності до Конституції України (ст..140), місцеве самоврядування є пра</vt:lpstr>
      <vt:lpstr>        Матеріальною і фінансовою основою місцевого самоврядування є рухоме і нерухом</vt:lpstr>
      <vt:lpstr>        Територіальні громади села, селища, міста безпосередньо або через утворені ни</vt:lpstr>
      <vt:lpstr>        У відповідності до статті 16. Закону України «Про місцеве самоврядування в</vt:lpstr>
      <vt:lpstr>        </vt:lpstr>
      <vt:lpstr>        А саме:</vt:lpstr>
      <vt:lpstr>        Просимо:</vt:lpstr>
      <vt:lpstr>        </vt:lpstr>
      <vt:lpstr>        Додаток:</vt:lpstr>
    </vt:vector>
  </TitlesOfParts>
  <Company>Grizli777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2015-08-27T07:20:00Z</cp:lastPrinted>
  <dcterms:created xsi:type="dcterms:W3CDTF">2015-07-23T10:41:00Z</dcterms:created>
  <dcterms:modified xsi:type="dcterms:W3CDTF">2015-08-27T07:52:00Z</dcterms:modified>
</cp:coreProperties>
</file>