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Аналітична довідка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eastAsia="Times New Roman" w:cs="Calibri"/>
          <w:color w:val="00000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Етап 1.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«Проведення моніторингу використання бюджетних коштів по міських бюджетних програмах енерго та ресурсо збереження в ЖКХ м. Миколаева.» </w:t>
      </w:r>
      <w:proofErr w:type="gramEnd"/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eastAsia="Times New Roman" w:cs="Calibri"/>
          <w:color w:val="000000"/>
          <w:lang w:eastAsia="ru-RU"/>
        </w:rPr>
      </w:pPr>
      <w:r w:rsidRPr="001E542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eastAsia="Times New Roman" w:cs="Calibri"/>
          <w:color w:val="000000"/>
          <w:lang w:eastAsia="ru-RU"/>
        </w:rPr>
      </w:pPr>
      <w:r w:rsidRPr="001E542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Метою аналітичного </w:t>
      </w:r>
      <w:proofErr w:type="gramStart"/>
      <w:r w:rsidRPr="001E542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досл</w:t>
      </w:r>
      <w:proofErr w:type="gramEnd"/>
      <w:r w:rsidRPr="001E542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ідження</w:t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є вироблення обґрунтованих рекомендацій Миколаївській міській раді та її виконавчим органам щодо вирішення існуючих проблем у сфері формування та виконання програм енерго - та ресурсозбереження органами місцевого самоврядування, особливо в частині забезпечення громадського контролю, а також виявлення «слабких місць», які можуть призвести або вже призводять до зниження ефективності та прозорості використання цих кошті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Основними документами, що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ідлягали моніторингу були: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Бюджетні запити головних розпорядників за 2013- 2015 роки;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Паспорти бюджетних програм на 2013 – 2015 роки;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Накази «Про затвердження паспортів бюджетних програм» на 2014 – 2015 роки;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Звіти про виконання паспортів за 2013р.-1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івріччя 2015р.;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аналітичні та моніторингові звіти з порівняння результативності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eastAsia="Times New Roman" w:cs="Calibri"/>
          <w:color w:val="00000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360" w:firstLine="57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Головні розпорядники, які надали інформацію про бюджетні програми для громадського моніторингу: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1080" w:firstLine="5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42B">
        <w:rPr>
          <w:rFonts w:ascii="Symbol" w:eastAsia="Times New Roman" w:hAnsi="Symbol"/>
          <w:color w:val="000000"/>
          <w:sz w:val="18"/>
          <w:szCs w:val="18"/>
          <w:lang w:eastAsia="ru-RU"/>
        </w:rPr>
        <w:sym w:font="Symbol" w:char="F0B7"/>
      </w:r>
      <w:r w:rsidRPr="001E542B">
        <w:rPr>
          <w:rFonts w:ascii="Symbol" w:eastAsia="Times New Roman" w:hAnsi="Symbol"/>
          <w:color w:val="000000"/>
          <w:sz w:val="18"/>
          <w:szCs w:val="18"/>
          <w:lang w:eastAsia="ru-RU"/>
        </w:rPr>
        <w:t></w:t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Виконком Миколаївської міськраді.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1080" w:firstLine="5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42B">
        <w:rPr>
          <w:rFonts w:ascii="Symbol" w:eastAsia="Times New Roman" w:hAnsi="Symbol"/>
          <w:color w:val="000000"/>
          <w:sz w:val="18"/>
          <w:szCs w:val="18"/>
          <w:lang w:eastAsia="ru-RU"/>
        </w:rPr>
        <w:sym w:font="Symbol" w:char="F0B7"/>
      </w:r>
      <w:r w:rsidRPr="001E542B">
        <w:rPr>
          <w:rFonts w:ascii="Symbol" w:eastAsia="Times New Roman" w:hAnsi="Symbol"/>
          <w:color w:val="000000"/>
          <w:sz w:val="18"/>
          <w:szCs w:val="18"/>
          <w:lang w:eastAsia="ru-RU"/>
        </w:rPr>
        <w:t></w:t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Департамент ЖКГ 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1080" w:firstLine="5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42B">
        <w:rPr>
          <w:rFonts w:ascii="Symbol" w:eastAsia="Times New Roman" w:hAnsi="Symbol"/>
          <w:color w:val="000000"/>
          <w:sz w:val="18"/>
          <w:szCs w:val="18"/>
          <w:lang w:eastAsia="ru-RU"/>
        </w:rPr>
        <w:sym w:font="Symbol" w:char="F0B7"/>
      </w:r>
      <w:r w:rsidRPr="001E542B">
        <w:rPr>
          <w:rFonts w:ascii="Symbol" w:eastAsia="Times New Roman" w:hAnsi="Symbol"/>
          <w:color w:val="000000"/>
          <w:sz w:val="18"/>
          <w:szCs w:val="18"/>
          <w:lang w:eastAsia="ru-RU"/>
        </w:rPr>
        <w:t></w:t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Управління праці та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іального захисту населення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1080" w:firstLine="5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42B">
        <w:rPr>
          <w:rFonts w:ascii="Symbol" w:eastAsia="Times New Roman" w:hAnsi="Symbol"/>
          <w:color w:val="000000"/>
          <w:sz w:val="18"/>
          <w:szCs w:val="18"/>
          <w:lang w:eastAsia="ru-RU"/>
        </w:rPr>
        <w:sym w:font="Symbol" w:char="F0B7"/>
      </w:r>
      <w:r w:rsidRPr="001E542B">
        <w:rPr>
          <w:rFonts w:ascii="Symbol" w:eastAsia="Times New Roman" w:hAnsi="Symbol"/>
          <w:color w:val="000000"/>
          <w:sz w:val="18"/>
          <w:szCs w:val="18"/>
          <w:lang w:eastAsia="ru-RU"/>
        </w:rPr>
        <w:t></w:t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Заводський та Корабельній район.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1080" w:firstLine="5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42B">
        <w:rPr>
          <w:rFonts w:ascii="Symbol" w:eastAsia="Times New Roman" w:hAnsi="Symbol"/>
          <w:color w:val="000000"/>
          <w:sz w:val="18"/>
          <w:szCs w:val="18"/>
          <w:lang w:eastAsia="ru-RU"/>
        </w:rPr>
        <w:sym w:font="Symbol" w:char="F0B7"/>
      </w:r>
      <w:r w:rsidRPr="001E542B">
        <w:rPr>
          <w:rFonts w:ascii="Symbol" w:eastAsia="Times New Roman" w:hAnsi="Symbol"/>
          <w:color w:val="000000"/>
          <w:sz w:val="18"/>
          <w:szCs w:val="18"/>
          <w:lang w:eastAsia="ru-RU"/>
        </w:rPr>
        <w:t></w:t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Управління культури.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1080" w:firstLine="5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42B">
        <w:rPr>
          <w:rFonts w:ascii="Symbol" w:eastAsia="Times New Roman" w:hAnsi="Symbol"/>
          <w:color w:val="000000"/>
          <w:sz w:val="18"/>
          <w:szCs w:val="18"/>
          <w:lang w:eastAsia="ru-RU"/>
        </w:rPr>
        <w:sym w:font="Symbol" w:char="F0B7"/>
      </w:r>
      <w:r w:rsidRPr="001E542B">
        <w:rPr>
          <w:rFonts w:ascii="Symbol" w:eastAsia="Times New Roman" w:hAnsi="Symbol"/>
          <w:color w:val="000000"/>
          <w:sz w:val="18"/>
          <w:szCs w:val="18"/>
          <w:lang w:eastAsia="ru-RU"/>
        </w:rPr>
        <w:t></w:t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Управління з питань надзвичайних ситуацій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1080" w:firstLine="5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42B">
        <w:rPr>
          <w:rFonts w:ascii="Symbol" w:eastAsia="Times New Roman" w:hAnsi="Symbol"/>
          <w:color w:val="000000"/>
          <w:sz w:val="18"/>
          <w:szCs w:val="18"/>
          <w:lang w:eastAsia="ru-RU"/>
        </w:rPr>
        <w:sym w:font="Symbol" w:char="F0B7"/>
      </w:r>
      <w:r w:rsidRPr="001E542B">
        <w:rPr>
          <w:rFonts w:ascii="Symbol" w:eastAsia="Times New Roman" w:hAnsi="Symbol"/>
          <w:color w:val="000000"/>
          <w:sz w:val="18"/>
          <w:szCs w:val="18"/>
          <w:lang w:eastAsia="ru-RU"/>
        </w:rPr>
        <w:t></w:t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Управління охорони здоров'я Миколаївської міськраді.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360" w:firstLine="57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7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основі зібраної інформації, складений аналітичний звіт, де наведені рекомендації для розпорядників коштів міського бюджету, які сприятимуть вирішенню проблеми - неефективного та непрозорого використання бюджетних коштів, в частині ресурсо та енергозбереження в міському бюджеті наступних періодів. Саме на вирішення цієї проблеми був спрямований даний проект.</w:t>
      </w:r>
      <w:proofErr w:type="gramEnd"/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РЕКОМЕНДАЦІЇ І</w:t>
      </w:r>
      <w:proofErr w:type="gramStart"/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</w:t>
      </w:r>
      <w:proofErr w:type="gramEnd"/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ОПТИМІЗАЦІЇ ПРОЦЕДУРИ ФОРМУВАННЯ ТА ВИКОНАННЯ ЗАВДАНЬ З ЕНЕРНОЗБЕРЕЖЕННЯ ДЛЯ ГОЛОВНИХ РОЗПОРЯДНИКІВ МІСЬКОГО БЮДЖЕТУ м. МИКОЛАЇВ у 2016 р.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Не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 головні розпорядники місцевого бюджету, які здійснюють витрати з оплати комунальних послуг та енергоносіїв запланували в 2013-2015 роках у форматі бюджетних програм окремі завдання з енергоефективності та енергозбереження, що є порушенням комплексної методики з формування та виконання бюджетів по ПЦМ 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Не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 головні розпорядники коштів місцевого бюджету надали на запит громадськості документи, що відображають відповідні програми і завдання, що є порушенням ст.28 Бюджетного кодексу України.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Адміністрація Заводського району 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Рекомендації:</w:t>
      </w:r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У ряді завдань з енергозбереження (9010080, 9015020) в якості показника витрат виведені обсяги витрат (у тис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рн).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 не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відповідає методиці. У завданнях за заходами показники витрат не відображаються, першим параметром є показник продукту.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 У бюджетних запитах і паспортах програм (у п.4.2.) слід відобразити наказ Міністерства фінансів України №945, на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ідставі якого визначені показники результативності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107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42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- Управління освіти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Рекомендації:</w:t>
      </w:r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Не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 дані цього обліку занесені у паспорти і звіти про їх виконання.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метою скорочення документообігу доцільно дані таблиць перетворити у відповідні показники і відобразити їх у бюджетних запитах, а далі - в паспортах і звітах про їх виконання.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За програмою 1011070 динаміка споживання комунальних платежів показана як 51,69%. Потрібно внести показник темпу зростання витрат по енергоносіях і на їх основі обчислити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динаміку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енергоефективності (в даному випадку вона позначиться зі знаком (-).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За програмою 1011030 (вечірні школи)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доц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ільно вивести показник енергоефективності (оскільки темпи витрат падають, а споживання збільшується. Це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ідчить про високу ефективність заходів.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- За програмами 1011090 (позашкільна освіта) і 1011210 (інші освітні установи) (Паспорти 2015 г) викликає питання ефективність заходів. При 13-кратному (1358%) і 60-кратному (6000%) зростанні середніх витрат на заходи (подорожчанні), споживання енергоносії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зросла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35,64%, і на 83,25% відповідно, що перевищує середньогалузеве значення майже на третину в першому випадку і в чотири рази у другому.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- Департамент праці та </w:t>
      </w:r>
      <w:proofErr w:type="gramStart"/>
      <w:r w:rsidRPr="001E542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соц</w:t>
      </w:r>
      <w:proofErr w:type="gramEnd"/>
      <w:r w:rsidRPr="001E542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іального захисту населення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Рекомендації:</w:t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При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ідготовці бюджетних запитів на 2016 рік слід виділити програмні заходи по енергозбереженню в окреме завдання (підпрограму) у складі програм по департаменту (010116), терцентру, центру реінтеграції бездомних громадян, центру реабілітації дітей та інвалідів, притулку для громадян похилого віку та інвалідів, - з подальшим внесенням до паспорта та звіти про їх виконання. Тільки в цьому випадку можна буде вважати реалізованими положення Бюджетного кодексу України з контролю ефективності бюджетних коштів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частині енергоефективності та енергозбереження на рівні департаменту, як головного розпорядника коштів місцевого бюджету.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107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42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- Департамент житлово-комунального господарства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громадського моніторингу </w:t>
      </w:r>
      <w:proofErr w:type="gramStart"/>
      <w:r w:rsidRPr="001E542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</w:t>
      </w:r>
      <w:proofErr w:type="gramEnd"/>
      <w:r w:rsidRPr="001E542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1E542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плановому</w:t>
      </w:r>
      <w:proofErr w:type="gramEnd"/>
      <w:r w:rsidRPr="001E542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режимі виконання</w:t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Проекту представлений єдиний документ - «Програма «Реформування та розвитку Житлово-комунального господарства м. Миколаєва на 2015-2019 роки».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Результатна складова в програмі не визначена, про формування відповідних бюджетних програм на 2015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дані не надані.</w:t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Це свідчить про відсутність можливості провести громадський моніторинг за даним департаменту, а також про непрозорість і закритість його бюджетної політики у сфері контролю бюджетних коштів у частині заходів з енергоефективності та енергозбереження.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107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42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- Управління охорони здоров'я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Рекомендації:</w:t>
      </w:r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-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Слід привести бюджетні запити до типових форм в частині їх доповнення таблицями розрахунку планових результативних показників.</w:t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Інформація бюджетних запитів і інформація паспортів, а так само звітів про їх виконання придбає комплексний вид і дозволить якісно здійснити моніторинг та оцінку ефективності бюджетних програм.</w:t>
      </w:r>
      <w:proofErr w:type="gramEnd"/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    </w:t>
      </w:r>
      <w:r w:rsidRPr="001E542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- Управління з питань надзвичайних ситуацій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 Рекомендації:</w:t>
      </w:r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На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івні даного розпорядника слід привести у відповідність чинної нормативно-правової бази (в першу чергу - з Бюджетним кодексом України) питання контролю ефективності бюджетних коштів.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На сьогоднішній день положення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Бюджетного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кодексу в цій частині його вимог управлінням не виконуються.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r w:rsidRPr="001E542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 Управління культури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Вичерпна і структурована інформація, що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ідчить про повну відкритість його бюджетної політики як головного розпорядника коштів.</w:t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За програмою "Інші культурно-освітні заклади та заходи" (КФК 110502), «Палаци и будинки культури, клуби та Інші заклади клубного типу» (110204) та ін. В 2014-2015 рр. 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паспортах і бюджетних запитах найбільш інформативно і методично правильно відображений комплекс показників результативності. 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Показники чітко корелюються і приводяться у відповідність кошторисних призначень на плановий період.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Моніторинг паспортів і запитів дозволяє чітко визначити плановий обсяг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ічної економії бюджетних коштів, що отримується в результаті здійснення заходів з енергозбереження та енергоефективності в цілому по управлінню (наприклад, в 2015 р планова економія по функції 110000 становить 55,1 тис грн.)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Досить інформативні план і звіт по заходам енергозбереження,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містить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види робіт, їх планову і фактичну вартість.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Звіти про виконання паспортів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ідготовлені в повній відповідності з методикою та вимогами до контролю ефективності бюджетних коштів.</w:t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Слід зазначити відкритість у наданні первинної фінансово-господарської документації в частині здійснення заходів з енергозбереження. По дитячій бібліотеці ці витрати склали 2,2 тис. Грн., по зоопарку - 70,9 тис грн., Що повністю відповідає даним, відображеним у звітах про виконання паспортів бюджетних програм.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Проблемна сфера: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У бюджетних запитах в завданнях з енергозбереження (2013 г.) не розраховані показники якості, хоча в паспортах їх значення відображене.</w:t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Рекомендації: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Подальше вдосконалення системи контролю ефективності в частині впровадження індексного методики оцінки ефективності бюджетних програм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7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1E542B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 xml:space="preserve">ЗАГАЛЬНІ РЕКОМЕНДАЦІЇ </w:t>
      </w:r>
      <w:proofErr w:type="gramStart"/>
      <w:r w:rsidRPr="001E542B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З</w:t>
      </w:r>
      <w:proofErr w:type="gramEnd"/>
      <w:r w:rsidRPr="001E542B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 xml:space="preserve"> ПОКРАЩЕННЯ СИСТЕМИ ВИКОРИСТАННЯ БЮДЖЕТНИХ КОШТІВ НА РЕАЛІЗАЦІЮ ЗАВДАНЬ З ЕНЕРГОЗБЕРЕЖЕННЯ М. МИКОЛАЄВА У 2016 Р</w:t>
      </w:r>
      <w:r w:rsidRPr="001E542B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>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У зв’язку з тим, що видатки на реалізацію завдань з енергозбереженя у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ізних районах міста та на рівні різних головних розпорядників є надто диференційованими та нерівномірними, місцевому фінансовому органу (у відповідності до Бюджетного кодексу України є відповідальним за організацію заходів з бюджетної політики, слід поглибити аналітичну роботу та поставити за мету досягнення відносної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івності всіх жителів міста та розпорядників у отриманні бюджетного фінансування на заходи з енергозбереження.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Таке фінансування повинне проводитися у відповідності з даними енергоаудиту бюджетних установ). </w:t>
      </w:r>
      <w:proofErr w:type="gramEnd"/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Фінансування заходів з енергозбереження має здійснюватися у чіткій відповідності з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івнем ефективності відповідних бюджетних програм як по головному розпоряднику у цілому, так і в розрізі кожного окремого розпорядника нижчого рівня. Розрахунок такої ефективності слід здійснювати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 Листа Міністерства фінансів України від 19.09.2013 року №31-05110-14-5/27486.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посилення достовірності такої оцінки слід активізувати роботу з головним розпорядником, одержувачами коштів та з відповідальними виконавцями програм щодо повноти, об’єктивності та комплексності відображення комплексу показників результативності у бюджетних запитах, а відтак, і у паспортах бюджетних програм та у звітах про їх виконання. </w:t>
      </w:r>
      <w:proofErr w:type="gramEnd"/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Процедури формування обсягів бюджетних видатків та напрямки використання бюджетних кошті</w:t>
      </w:r>
      <w:proofErr w:type="gramStart"/>
      <w:r w:rsidRPr="001E542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</w:t>
      </w:r>
      <w:proofErr w:type="gramEnd"/>
      <w:r w:rsidRPr="001E542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на енергозбереження у м. Миколаєві є недостатньо прозорими</w:t>
      </w: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М. Миколаїв – одне з перших мі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Україні, що застосувало у бюджетному процесі програмно-цільовий метод. Так, перелік бюджетних програм у бюджетах 2013 - 2015 р. в повній відповідності з методикою затверджено у Додатках 3-1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ішення про бюджет м. Миколаєва.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У відповідності ст. 28 Бюджетного кодексу України до 15 березня року, що настає за звітним, слід здійснювати публічне представлення та публікацію інформації про бюджет за бюджетними програмами та показниками. Також оприлюдненню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ідлягають паспорти бюджетних програм щодо завдань з енергозбереження м. Миколаєва на поточний бюджетний період та звіти про виконання паспортів бюджетних програм за звітний бюджетний період.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На сайті Миколаївської міської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наведено досить загальну інформацію щодо цих видатків, показники їх результативності взагалі не публікуються. Між тим, така деталізація сприятиме більшій відкритості діяльності головних розпорядникі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дозволить громадянам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громадським організаціям здійснювати прямі запити та звернення. Не публікуються дані щодо звіту за видами робіт, які виконані кожним головним розпорядником у сфері енергозбереження, відсутні дані про джерела їх фінансування. Інформація про номенклатуру видатків та обсяг бюджетної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ідтримки, а також звітні дані про використання цих коштів у офіційних ЗМІ (в т.ч. в офіційних І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нтернет - джерелах) відсутня.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Рекомендуємо головному розпоряднику коштів оприлюднювати таку інформацію у розрізі кожного із завдань програми та кожного розпорядника нижчого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івня. 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 xml:space="preserve">Процедури формування системи результативності та ефективності бюджетних програм у </w:t>
      </w:r>
      <w:proofErr w:type="gramStart"/>
      <w:r w:rsidRPr="001E542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м</w:t>
      </w:r>
      <w:proofErr w:type="gramEnd"/>
      <w:r w:rsidRPr="001E542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. Миколаїв є закритими для широкого доступу громадськості та порушують основні нормативні та методологічні засади програмно-цільового методу</w:t>
      </w:r>
      <w:r w:rsidRPr="001E542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: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Майже усіма головними розпорядниками коштів продовжується негативна традиція попередніх рокі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2014-2015 році вкрай недостатня увага приділяється формуванню системи результативності видатків завдань з енергозбереження. Чіткої системи результативності та визначення ефективності видатків міського бюджету за цими завданнями у м. Миколаєві на сьогоднішній день фактично не існу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є.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сьогоднішнього стану справ забезпечити прозорість і зрозумілість для громади конкретних напрямків витрачання коштів місцевого бюджету не представляється можливим. Для подолання цієї ситуації систему формування бюджетних запитів слід привести у повну відповідність з Наказом Міністерства фінансів України від 06.06.2012 № 687 «Про погодження Інструкції з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ідготовки бюджетних запитів", а також з листом Міністерства фінансів України від 23.11.2012 р № 31-05010-14-8 / 27910 «Щодо Типової форми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ішення та бюджетного запиту". Бюджетні запити повинні в обов'язковому порядку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істити як ресурсну, так і результатну частини бюджетних програм, яка формується в розрізі показників їх результативності.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Переважна кількість показників результативності формувалася з порушеннями Наказу Міністерства фінансів України від 09.07.2010 р. № 679 «Про деякі питання проведення експерименту по запровадженню програмно-цільового методу складання та виконання місцевих бюджетів» (із змінами від 08.06.2012 № 690 та від 26.11.2012 №1221) та Наказу Міністерства фінанс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ів України «Про затвердження Примірного переліку результативних показників бюджетних програм для місцевих бюджетів за видатками, що не враховуються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визначенні обсягу міжбюджетних трансфертів» від 27.07.2011 р. №945 (із змінами від 30.11.2012 р. № 1260) 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цьому зв’язку головним розпорядникам слід звернути увагу на наступні моменти: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- показник затрат не повинен демонструвати обсяг видаткі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Він повинен показувати балансовий обсяг або кількість об’єктів за якими здійснюється енергозаощадження, тобто, тих енергоносіїв, які споживаються та на які конкретно спрямовуються бюджетні кошти 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показник продукту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повинен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демонструвати фактичний обсяг та кількість спожитих енергоносіїв. 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показник якості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повинен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відображати абсолютно чіткі показники динаміки (приросту або зменшення) обсягів споживання у натуральних показниках, у грошовому виразі та у відсотках. 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Звертає на себе увагу досить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мала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кількість показників (в деяких завданнях – їх 5, у деяких – їх лише 1- 3). Вони абсолютно не є інформативними та не створюють можливість подальшого аналізу ефективності видаткі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Рекомендована Наказом Мінфіну №1221 кількість показників по одному завданню становить мінімум 10-12. Тільки така кількість (проти сьогоднішніх 3-5) може сформувати громадську уяву про реальні напрямки витрачання досить немалих коштів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іського бюджету та про їх результати.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відповідності до Наказу Міністерства фінансів України від 09.07.2010 р. № 679 головним розпорядникам коштів місцевого бюджету за завданнями з енергозбереженя слід уніфікувати номенклатуру показників результативності бюджетних програм у бюджетному запиті, у паспорті та у звіті про виконання паспорту.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Ця номенклатура </w:t>
      </w:r>
      <w:proofErr w:type="gramStart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повинна</w:t>
      </w:r>
      <w:proofErr w:type="gramEnd"/>
      <w:r w:rsidRPr="001E54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бути єдиною. </w:t>
      </w:r>
    </w:p>
    <w:p w:rsidR="001E542B" w:rsidRPr="001E542B" w:rsidRDefault="001E542B" w:rsidP="001E5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E54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1E542B" w:rsidRDefault="001E542B" w:rsidP="001E542B">
      <w:pPr>
        <w:pStyle w:val="a6"/>
        <w:spacing w:line="276" w:lineRule="auto"/>
        <w:ind w:left="360" w:firstLine="570"/>
        <w:jc w:val="both"/>
      </w:pPr>
      <w:r>
        <w:rPr>
          <w:rFonts w:ascii="Arial" w:hAnsi="Arial" w:cs="Arial"/>
          <w:b/>
          <w:bCs/>
          <w:sz w:val="18"/>
          <w:szCs w:val="18"/>
        </w:rPr>
        <w:t>Етап ІІ. Моніторинг фактичних обсягів робіт по виконанню заходів з енергозбереження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 .</w:t>
      </w:r>
      <w:proofErr w:type="gramEnd"/>
    </w:p>
    <w:p w:rsidR="001E542B" w:rsidRDefault="001E542B" w:rsidP="001E542B">
      <w:pPr>
        <w:pStyle w:val="a6"/>
        <w:spacing w:line="276" w:lineRule="auto"/>
        <w:ind w:firstLine="570"/>
        <w:jc w:val="both"/>
      </w:pPr>
      <w:proofErr w:type="gramStart"/>
      <w:r>
        <w:rPr>
          <w:rFonts w:ascii="Arial" w:hAnsi="Arial" w:cs="Arial"/>
          <w:sz w:val="18"/>
          <w:szCs w:val="18"/>
        </w:rPr>
        <w:t>Для моніторингу фактичних обсягів робіт з енергозберігаючим заходам і моніторингу розподілу бюджетних коштів на відповідність вимогам тендерних процедур було обрано два об'єкта по Управлінню освіти.</w:t>
      </w:r>
      <w:proofErr w:type="gramEnd"/>
      <w:r>
        <w:rPr>
          <w:rFonts w:ascii="Arial" w:hAnsi="Arial" w:cs="Arial"/>
          <w:sz w:val="18"/>
          <w:szCs w:val="18"/>
        </w:rPr>
        <w:t xml:space="preserve"> Представники ГО «Фонд ініціативного розвитку» запросили кошторисну документацію та відвідали об'єкти </w:t>
      </w:r>
    </w:p>
    <w:p w:rsidR="001E542B" w:rsidRDefault="001E542B" w:rsidP="001E542B">
      <w:pPr>
        <w:pStyle w:val="a6"/>
        <w:spacing w:line="276" w:lineRule="auto"/>
        <w:ind w:left="360" w:firstLine="570"/>
      </w:pPr>
      <w:r>
        <w:rPr>
          <w:sz w:val="18"/>
          <w:szCs w:val="18"/>
        </w:rPr>
        <w:t> 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r>
        <w:rPr>
          <w:rFonts w:ascii="Arial" w:hAnsi="Arial" w:cs="Arial"/>
          <w:b/>
          <w:bCs/>
          <w:sz w:val="18"/>
          <w:szCs w:val="18"/>
        </w:rPr>
        <w:t>Висновок</w:t>
      </w:r>
      <w:r>
        <w:rPr>
          <w:rFonts w:ascii="Arial" w:hAnsi="Arial" w:cs="Arial"/>
          <w:sz w:val="18"/>
          <w:szCs w:val="18"/>
        </w:rPr>
        <w:t>.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r>
        <w:rPr>
          <w:rFonts w:ascii="Arial" w:hAnsi="Arial" w:cs="Arial"/>
          <w:sz w:val="18"/>
          <w:szCs w:val="18"/>
        </w:rPr>
        <w:t xml:space="preserve">Згідно інформації, наданої головним розпорядником - Управлінням освіти Миколаївської міськради, можна зробити висновок, що енергозберігаючі заходи - встановлення </w:t>
      </w:r>
      <w:proofErr w:type="gramStart"/>
      <w:r>
        <w:rPr>
          <w:rFonts w:ascii="Arial" w:hAnsi="Arial" w:cs="Arial"/>
          <w:sz w:val="18"/>
          <w:szCs w:val="18"/>
        </w:rPr>
        <w:t>метало пластикових вікон у дитячому садку №127 були проведен</w:t>
      </w:r>
      <w:proofErr w:type="gramEnd"/>
      <w:r>
        <w:rPr>
          <w:rFonts w:ascii="Arial" w:hAnsi="Arial" w:cs="Arial"/>
          <w:sz w:val="18"/>
          <w:szCs w:val="18"/>
        </w:rPr>
        <w:t xml:space="preserve">і. Вартість робіт незначно занижена за рахунок використання ДБН замість ДСТУ. Договірна ціна - 5000,00 грн. </w:t>
      </w:r>
      <w:proofErr w:type="gramStart"/>
      <w:r>
        <w:rPr>
          <w:rFonts w:ascii="Arial" w:hAnsi="Arial" w:cs="Arial"/>
          <w:sz w:val="18"/>
          <w:szCs w:val="18"/>
        </w:rPr>
        <w:t>могла</w:t>
      </w:r>
      <w:proofErr w:type="gramEnd"/>
      <w:r>
        <w:rPr>
          <w:rFonts w:ascii="Arial" w:hAnsi="Arial" w:cs="Arial"/>
          <w:sz w:val="18"/>
          <w:szCs w:val="18"/>
        </w:rPr>
        <w:t xml:space="preserve"> бути збільшена на 134,00 грн. Але, оскільки завищена кошторисна прибуток на 106,51 грн, то договірна ціна </w:t>
      </w:r>
      <w:proofErr w:type="gramStart"/>
      <w:r>
        <w:rPr>
          <w:rFonts w:ascii="Arial" w:hAnsi="Arial" w:cs="Arial"/>
          <w:sz w:val="18"/>
          <w:szCs w:val="18"/>
        </w:rPr>
        <w:t>повинна</w:t>
      </w:r>
      <w:proofErr w:type="gramEnd"/>
      <w:r>
        <w:rPr>
          <w:rFonts w:ascii="Arial" w:hAnsi="Arial" w:cs="Arial"/>
          <w:sz w:val="18"/>
          <w:szCs w:val="18"/>
        </w:rPr>
        <w:t xml:space="preserve"> бути - 5027,49, тобто на 27,49грн. вище фактичної.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r>
        <w:rPr>
          <w:rFonts w:ascii="Arial" w:hAnsi="Arial" w:cs="Arial"/>
          <w:sz w:val="18"/>
          <w:szCs w:val="18"/>
        </w:rPr>
        <w:t xml:space="preserve">По цьому об'єкту багато питань, що стосуються правильності складання кошторисної документації. В даному випадку </w:t>
      </w:r>
      <w:proofErr w:type="gramStart"/>
      <w:r>
        <w:rPr>
          <w:rFonts w:ascii="Arial" w:hAnsi="Arial" w:cs="Arial"/>
          <w:sz w:val="18"/>
          <w:szCs w:val="18"/>
        </w:rPr>
        <w:t>це не</w:t>
      </w:r>
      <w:proofErr w:type="gramEnd"/>
      <w:r>
        <w:rPr>
          <w:rFonts w:ascii="Arial" w:hAnsi="Arial" w:cs="Arial"/>
          <w:sz w:val="18"/>
          <w:szCs w:val="18"/>
        </w:rPr>
        <w:t xml:space="preserve"> привело до збільшення бюджетних витрат, а навпаки. Але помилки при складанні кошторисної документації можуть спричинити за собою ризики значного збільшення бюджетних витрат по об'єктах головного розпорядника, на яких освоюються значно більші суми грошей.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r>
        <w:rPr>
          <w:rFonts w:ascii="Arial" w:hAnsi="Arial" w:cs="Arial"/>
          <w:sz w:val="18"/>
          <w:szCs w:val="18"/>
        </w:rPr>
        <w:t xml:space="preserve">Але основним механізмом, що сприяє непрозорості використання бюджетних коштів, є відсутність документації, в якій чітко прописані основні характеристики обладнання (по даному об'єкту - ні) і </w:t>
      </w:r>
      <w:proofErr w:type="gramStart"/>
      <w:r>
        <w:rPr>
          <w:rFonts w:ascii="Arial" w:hAnsi="Arial" w:cs="Arial"/>
          <w:sz w:val="18"/>
          <w:szCs w:val="18"/>
        </w:rPr>
        <w:t>матер</w:t>
      </w:r>
      <w:proofErr w:type="gramEnd"/>
      <w:r>
        <w:rPr>
          <w:rFonts w:ascii="Arial" w:hAnsi="Arial" w:cs="Arial"/>
          <w:sz w:val="18"/>
          <w:szCs w:val="18"/>
        </w:rPr>
        <w:t>іалів (по даному об'єкту - металопластикові вікна).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r>
        <w:rPr>
          <w:rFonts w:ascii="Arial" w:hAnsi="Arial" w:cs="Arial"/>
          <w:sz w:val="18"/>
          <w:szCs w:val="18"/>
        </w:rPr>
        <w:t xml:space="preserve">Без цих характеристик, ми можемо говорити тільки про те, що ціна 1м2 знаходиться в межах цінового діапазону величезної кількості пропозицій </w:t>
      </w:r>
      <w:proofErr w:type="gramStart"/>
      <w:r>
        <w:rPr>
          <w:rFonts w:ascii="Arial" w:hAnsi="Arial" w:cs="Arial"/>
          <w:sz w:val="18"/>
          <w:szCs w:val="18"/>
        </w:rPr>
        <w:t>на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ринку</w:t>
      </w:r>
      <w:proofErr w:type="gramEnd"/>
      <w:r>
        <w:rPr>
          <w:rFonts w:ascii="Arial" w:hAnsi="Arial" w:cs="Arial"/>
          <w:sz w:val="18"/>
          <w:szCs w:val="18"/>
        </w:rPr>
        <w:t xml:space="preserve"> метало пластикових вікон відповідного періоду.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r>
        <w:rPr>
          <w:rFonts w:ascii="Arial" w:hAnsi="Arial" w:cs="Arial"/>
          <w:sz w:val="18"/>
          <w:szCs w:val="18"/>
        </w:rPr>
        <w:t xml:space="preserve">А для того, щоб провести аналіз аналогічних пропозицій конкурентів, інформації недостатньо. При цьому вартість самих метало пластикових вікон складає значну частку - 4687,00грн. </w:t>
      </w:r>
      <w:proofErr w:type="gramStart"/>
      <w:r>
        <w:rPr>
          <w:rFonts w:ascii="Arial" w:hAnsi="Arial" w:cs="Arial"/>
          <w:sz w:val="18"/>
          <w:szCs w:val="18"/>
        </w:rPr>
        <w:t>при</w:t>
      </w:r>
      <w:proofErr w:type="gramEnd"/>
      <w:r>
        <w:rPr>
          <w:rFonts w:ascii="Arial" w:hAnsi="Arial" w:cs="Arial"/>
          <w:sz w:val="18"/>
          <w:szCs w:val="18"/>
        </w:rPr>
        <w:t xml:space="preserve"> договірною ціною -5000,00 грн.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r>
        <w:rPr>
          <w:rFonts w:ascii="Arial" w:hAnsi="Arial" w:cs="Arial"/>
          <w:sz w:val="18"/>
          <w:szCs w:val="18"/>
          <w:u w:val="single"/>
        </w:rPr>
        <w:t> 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Етап ІІІ.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>
        <w:rPr>
          <w:rFonts w:ascii="Arial" w:hAnsi="Arial" w:cs="Arial"/>
          <w:b/>
          <w:bCs/>
          <w:sz w:val="18"/>
          <w:szCs w:val="18"/>
        </w:rPr>
        <w:t>ідготовка практичного вирішення (техніко-економічне обгрунтування) скорочення бюджетних витрат за рахунок впровадження енергозберігаючих технологій. (Для включення до бюджетного запиту 2016р.)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proofErr w:type="gramStart"/>
      <w:r>
        <w:rPr>
          <w:rFonts w:ascii="Arial" w:hAnsi="Arial" w:cs="Arial"/>
          <w:sz w:val="18"/>
          <w:szCs w:val="18"/>
        </w:rPr>
        <w:t>ГО «Фонд ініціативного розвитку» були проаналізовані можливості скорочення бюджетних витрат за рахунок застосування ефективних енергозберігаючих технологій з коротким терміном окупності і невеликими первинними вкладеннями.</w:t>
      </w:r>
      <w:proofErr w:type="gramEnd"/>
      <w:r>
        <w:rPr>
          <w:rFonts w:ascii="Arial" w:hAnsi="Arial" w:cs="Arial"/>
          <w:sz w:val="18"/>
          <w:szCs w:val="18"/>
        </w:rPr>
        <w:t xml:space="preserve"> В результаті було розроблено техніко-економічне обґрунтування проекту економії електроенергії за рахунок компенсації реактивної потужності.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r>
        <w:rPr>
          <w:rFonts w:ascii="Arial" w:hAnsi="Arial" w:cs="Arial"/>
          <w:sz w:val="18"/>
          <w:szCs w:val="18"/>
        </w:rPr>
        <w:t> 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r>
        <w:rPr>
          <w:rFonts w:ascii="Arial" w:hAnsi="Arial" w:cs="Arial"/>
          <w:sz w:val="18"/>
          <w:szCs w:val="18"/>
        </w:rPr>
        <w:t>ГО «Фонд ініціативного розвитку» подано звернення на ім'я мера м</w:t>
      </w:r>
      <w:proofErr w:type="gramStart"/>
      <w:r>
        <w:rPr>
          <w:rFonts w:ascii="Arial" w:hAnsi="Arial" w:cs="Arial"/>
          <w:sz w:val="18"/>
          <w:szCs w:val="18"/>
        </w:rPr>
        <w:t>.М</w:t>
      </w:r>
      <w:proofErr w:type="gramEnd"/>
      <w:r>
        <w:rPr>
          <w:rFonts w:ascii="Arial" w:hAnsi="Arial" w:cs="Arial"/>
          <w:sz w:val="18"/>
          <w:szCs w:val="18"/>
        </w:rPr>
        <w:t>иколаєва на включення цього проекту до бюджетного запиту 2016р. Також запропоновано ініціювати бюджетну програму з енергозбереження, в рамках якої передбачається впровадження аналогічних проекті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на об'єктах міського господарства.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r>
        <w:rPr>
          <w:rFonts w:ascii="Arial" w:hAnsi="Arial" w:cs="Arial"/>
          <w:sz w:val="18"/>
          <w:szCs w:val="18"/>
        </w:rPr>
        <w:t>Це дозволить отримувати щорічну економію бюджетних кошті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r>
        <w:rPr>
          <w:rFonts w:ascii="Arial" w:hAnsi="Arial" w:cs="Arial"/>
          <w:sz w:val="18"/>
          <w:szCs w:val="18"/>
        </w:rPr>
        <w:t> 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r>
        <w:rPr>
          <w:rFonts w:ascii="Arial" w:hAnsi="Arial" w:cs="Arial"/>
          <w:sz w:val="18"/>
          <w:szCs w:val="18"/>
        </w:rPr>
        <w:t>Також запропоновано ініціювати бюджетну програму з енергозбереження, в рамках якої передбачається впровадження аналогічних проекті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на об'єктах міського господарства.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r>
        <w:rPr>
          <w:rFonts w:ascii="Arial" w:hAnsi="Arial" w:cs="Arial"/>
          <w:sz w:val="18"/>
          <w:szCs w:val="18"/>
        </w:rPr>
        <w:t>Звернення на і</w:t>
      </w:r>
      <w:proofErr w:type="gramStart"/>
      <w:r>
        <w:rPr>
          <w:rFonts w:ascii="Arial" w:hAnsi="Arial" w:cs="Arial"/>
          <w:sz w:val="18"/>
          <w:szCs w:val="18"/>
        </w:rPr>
        <w:t>м'я</w:t>
      </w:r>
      <w:proofErr w:type="gramEnd"/>
      <w:r>
        <w:rPr>
          <w:rFonts w:ascii="Arial" w:hAnsi="Arial" w:cs="Arial"/>
          <w:sz w:val="18"/>
          <w:szCs w:val="18"/>
        </w:rPr>
        <w:t xml:space="preserve"> мера подано вих. № 40 від "04" вересня 2015р. У випадку, якщо в результаті звернення, цей проект буде включений в бюджетний запит на 2016р. і буде ініційована бюджетна програма з енергозбереження, можна буде говорити про практичне вплив громадськості на бюджетні процеси не тільки в частині контролю, </w:t>
      </w:r>
      <w:proofErr w:type="gramStart"/>
      <w:r>
        <w:rPr>
          <w:rFonts w:ascii="Arial" w:hAnsi="Arial" w:cs="Arial"/>
          <w:sz w:val="18"/>
          <w:szCs w:val="18"/>
        </w:rPr>
        <w:t>а й</w:t>
      </w:r>
      <w:proofErr w:type="gramEnd"/>
      <w:r>
        <w:rPr>
          <w:rFonts w:ascii="Arial" w:hAnsi="Arial" w:cs="Arial"/>
          <w:sz w:val="18"/>
          <w:szCs w:val="18"/>
        </w:rPr>
        <w:t xml:space="preserve"> в частині формування.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r>
        <w:rPr>
          <w:rFonts w:ascii="Arial" w:hAnsi="Arial" w:cs="Arial"/>
          <w:sz w:val="18"/>
          <w:szCs w:val="18"/>
        </w:rPr>
        <w:lastRenderedPageBreak/>
        <w:t xml:space="preserve">В рамках постпроекта, планується провести моніторинг </w:t>
      </w:r>
      <w:proofErr w:type="gramStart"/>
      <w:r>
        <w:rPr>
          <w:rFonts w:ascii="Arial" w:hAnsi="Arial" w:cs="Arial"/>
          <w:sz w:val="18"/>
          <w:szCs w:val="18"/>
        </w:rPr>
        <w:t>бюджетного</w:t>
      </w:r>
      <w:proofErr w:type="gramEnd"/>
      <w:r>
        <w:rPr>
          <w:rFonts w:ascii="Arial" w:hAnsi="Arial" w:cs="Arial"/>
          <w:sz w:val="18"/>
          <w:szCs w:val="18"/>
        </w:rPr>
        <w:t xml:space="preserve"> процесу в частині енергозбереження у бюджеті 2016р. на предмет визначення впливу наших рекомендацій на ефективність використання бюджетних коштів у порівнянні з 2013-2015г.</w:t>
      </w:r>
    </w:p>
    <w:p w:rsidR="001E542B" w:rsidRDefault="001E542B" w:rsidP="001E542B">
      <w:pPr>
        <w:pStyle w:val="ListParagraph"/>
        <w:spacing w:after="0"/>
        <w:ind w:left="0" w:firstLine="570"/>
        <w:jc w:val="both"/>
      </w:pPr>
      <w:r>
        <w:rPr>
          <w:rFonts w:ascii="Arial" w:hAnsi="Arial" w:cs="Arial"/>
          <w:sz w:val="18"/>
          <w:szCs w:val="18"/>
        </w:rPr>
        <w:t> </w:t>
      </w:r>
    </w:p>
    <w:p w:rsidR="001E542B" w:rsidRDefault="001E542B" w:rsidP="001E542B">
      <w:pPr>
        <w:pStyle w:val="a6"/>
      </w:pPr>
      <w:r>
        <w:t> </w:t>
      </w:r>
    </w:p>
    <w:p w:rsidR="00AF279A" w:rsidRPr="001E542B" w:rsidRDefault="00AF279A" w:rsidP="001E542B">
      <w:pPr>
        <w:rPr>
          <w:szCs w:val="26"/>
        </w:rPr>
      </w:pPr>
    </w:p>
    <w:sectPr w:rsidR="00AF279A" w:rsidRPr="001E542B" w:rsidSect="00AF279A">
      <w:endnotePr>
        <w:numFmt w:val="decimal"/>
      </w:endnotePr>
      <w:pgSz w:w="11906" w:h="16838"/>
      <w:pgMar w:top="1134" w:right="850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55A"/>
    <w:multiLevelType w:val="singleLevel"/>
    <w:tmpl w:val="BB46F77A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1">
    <w:nsid w:val="03AF7F12"/>
    <w:multiLevelType w:val="singleLevel"/>
    <w:tmpl w:val="740097E2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132B7B67"/>
    <w:multiLevelType w:val="singleLevel"/>
    <w:tmpl w:val="E928232E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14F51F58"/>
    <w:multiLevelType w:val="singleLevel"/>
    <w:tmpl w:val="571E9282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4">
    <w:nsid w:val="20D54BB7"/>
    <w:multiLevelType w:val="singleLevel"/>
    <w:tmpl w:val="C9846074"/>
    <w:name w:val="Bullet 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5">
    <w:nsid w:val="3CB05F40"/>
    <w:multiLevelType w:val="multilevel"/>
    <w:tmpl w:val="4CBEA1F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48F63863"/>
    <w:multiLevelType w:val="singleLevel"/>
    <w:tmpl w:val="D20C9686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7">
    <w:nsid w:val="4B194F01"/>
    <w:multiLevelType w:val="singleLevel"/>
    <w:tmpl w:val="587C0578"/>
    <w:name w:val="Bullet 11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>
    <w:nsid w:val="65523E24"/>
    <w:multiLevelType w:val="singleLevel"/>
    <w:tmpl w:val="7634062E"/>
    <w:name w:val="Bullet 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9">
    <w:nsid w:val="667D120F"/>
    <w:multiLevelType w:val="multilevel"/>
    <w:tmpl w:val="DA745478"/>
    <w:name w:val="Нумерованный список 1"/>
    <w:lvl w:ilvl="0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>
    <w:nsid w:val="7B0255DA"/>
    <w:multiLevelType w:val="singleLevel"/>
    <w:tmpl w:val="BF825B3E"/>
    <w:name w:val="Bullet 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7C97121C"/>
    <w:multiLevelType w:val="multilevel"/>
    <w:tmpl w:val="04E4EAEC"/>
    <w:name w:val="Нумерованный список 2"/>
    <w:lvl w:ilvl="0">
      <w:numFmt w:val="bullet"/>
      <w:lvlText w:val="-"/>
      <w:lvlJc w:val="left"/>
      <w:pPr>
        <w:ind w:left="720" w:firstLine="0"/>
      </w:pPr>
      <w:rPr>
        <w:rFonts w:ascii="Calibri" w:eastAsia="Calibri" w:hAnsi="Calibri"/>
      </w:rPr>
    </w:lvl>
    <w:lvl w:ilvl="1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2">
    <w:nsid w:val="7EDA49D7"/>
    <w:multiLevelType w:val="singleLevel"/>
    <w:tmpl w:val="0C5EDBE8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</w:compat>
  <w:rsids>
    <w:rsidRoot w:val="00AF279A"/>
    <w:rsid w:val="001E542B"/>
    <w:rsid w:val="00A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List Paragraph" w:uiPriority="34" w:qFormat="1"/>
  </w:latentStyles>
  <w:style w:type="paragraph" w:default="1" w:styleId="a">
    <w:name w:val="Normal"/>
    <w:qFormat/>
    <w:rsid w:val="00AF279A"/>
  </w:style>
  <w:style w:type="paragraph" w:styleId="1">
    <w:name w:val="heading 1"/>
    <w:basedOn w:val="a"/>
    <w:link w:val="10"/>
    <w:uiPriority w:val="9"/>
    <w:qFormat/>
    <w:rsid w:val="001E54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9A"/>
    <w:pPr>
      <w:ind w:left="720"/>
      <w:contextualSpacing/>
    </w:pPr>
  </w:style>
  <w:style w:type="paragraph" w:styleId="a4">
    <w:name w:val="Normal (Web)"/>
    <w:basedOn w:val="a3"/>
    <w:qFormat/>
    <w:rsid w:val="00AF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23">
    <w:name w:val="rvts23"/>
    <w:basedOn w:val="a0"/>
    <w:rsid w:val="00AF279A"/>
  </w:style>
  <w:style w:type="character" w:styleId="a5">
    <w:name w:val="Hyperlink"/>
    <w:basedOn w:val="a0"/>
    <w:rsid w:val="00AF2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42B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paragraph" w:customStyle="1" w:styleId="a6">
    <w:name w:val="обычный"/>
    <w:basedOn w:val="a"/>
    <w:rsid w:val="001E54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ListParagraph">
    <w:name w:val="List Paragraph*"/>
    <w:basedOn w:val="a"/>
    <w:rsid w:val="001E54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eastAsia="Times New Roman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rvts23" w:customStyle="1">
    <w:name w:val="rvts23"/>
    <w:basedOn w:val=""/>
  </w:style>
  <w:style w:type="character" w:styleId="">
    <w:name w:val="Hyperlink"/>
    <w:basedOn w:val=""/>
    <w:rPr>
      <w:color w:val="0000ff"/>
      <w:u w:color="auto"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2665</Words>
  <Characters>15193</Characters>
  <Application>Microsoft Office Word</Application>
  <DocSecurity>0</DocSecurity>
  <Lines>126</Lines>
  <Paragraphs>35</Paragraphs>
  <ScaleCrop>false</ScaleCrop>
  <Company>Grizli777</Company>
  <LinksUpToDate>false</LinksUpToDate>
  <CharactersWithSpaces>17823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2015-09-23T15:17:00Z</cp:lastPrinted>
  <dcterms:created xsi:type="dcterms:W3CDTF">2015-09-30T09:14:00Z</dcterms:created>
  <dcterms:modified xsi:type="dcterms:W3CDTF">2015-09-30T09:14:00Z</dcterms:modified>
</cp:coreProperties>
</file>